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48" w:rsidRDefault="00E46FD8">
      <w:r>
        <w:rPr>
          <w:noProof/>
        </w:rPr>
        <mc:AlternateContent>
          <mc:Choice Requires="wpg">
            <w:drawing>
              <wp:anchor distT="0" distB="0" distL="114300" distR="114300" simplePos="0" relativeHeight="251658240" behindDoc="0" locked="0" layoutInCell="1" allowOverlap="1">
                <wp:simplePos x="0" y="0"/>
                <wp:positionH relativeFrom="column">
                  <wp:posOffset>-12700</wp:posOffset>
                </wp:positionH>
                <wp:positionV relativeFrom="paragraph">
                  <wp:posOffset>67310</wp:posOffset>
                </wp:positionV>
                <wp:extent cx="5486400" cy="95250"/>
                <wp:effectExtent l="0" t="0" r="19050" b="95250"/>
                <wp:wrapNone/>
                <wp:docPr id="8"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95250"/>
                          <a:chOff x="2250" y="1455"/>
                          <a:chExt cx="8550" cy="90"/>
                        </a:xfrm>
                      </wpg:grpSpPr>
                      <wps:wsp>
                        <wps:cNvPr id="9" name="Line 29"/>
                        <wps:cNvCnPr>
                          <a:cxnSpLocks noChangeAspect="1" noChangeShapeType="1"/>
                        </wps:cNvCnPr>
                        <wps:spPr bwMode="auto">
                          <a:xfrm>
                            <a:off x="7920" y="1545"/>
                            <a:ext cx="2880" cy="0"/>
                          </a:xfrm>
                          <a:prstGeom prst="line">
                            <a:avLst/>
                          </a:prstGeom>
                          <a:noFill/>
                          <a:ln w="177800">
                            <a:solidFill>
                              <a:srgbClr val="000000"/>
                            </a:solidFill>
                            <a:round/>
                            <a:headEnd/>
                            <a:tailEnd/>
                          </a:ln>
                          <a:extLst>
                            <a:ext uri="{909E8E84-426E-40DD-AFC4-6F175D3DCCD1}">
                              <a14:hiddenFill xmlns:a14="http://schemas.microsoft.com/office/drawing/2010/main">
                                <a:noFill/>
                              </a14:hiddenFill>
                            </a:ext>
                          </a:extLst>
                        </wps:spPr>
                        <wps:bodyPr/>
                      </wps:wsp>
                      <wps:wsp>
                        <wps:cNvPr id="5" name="Line 30"/>
                        <wps:cNvCnPr>
                          <a:cxnSpLocks noChangeAspect="1" noChangeShapeType="1"/>
                        </wps:cNvCnPr>
                        <wps:spPr bwMode="auto">
                          <a:xfrm>
                            <a:off x="2250" y="1455"/>
                            <a:ext cx="85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pt;margin-top:5.3pt;width:6in;height:7.5pt;z-index:251658240" coordorigin="2250,1455" coordsize="85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">
                <o:lock v:ext="edit" aspectratio="t"/>
                <v:line id="Line 29" o:spid="_x0000_s1027" style="position:absolute;visibility:visible;mso-wrap-style:square" from="7920,1545" to="10800,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qwwMEAAADaAAAADwAAAGRycy9kb3ducmV2LnhtbESPQYvCMBSE74L/IbyFvdlUD0W7RpEF&#10;0dtidw97fDTPttq8lCam9d8bQfA4zMw3zHo7mlYE6l1jWcE8SUEQl1Y3XCn4+93PliCcR9bYWiYF&#10;d3Kw3Uwna8y1HfhEofCViBB2OSqove9yKV1Zk0GX2I44emfbG/RR9pXUPQ4Rblq5SNNMGmw4LtTY&#10;0XdN5bW4GQX251+n+0vW3MM8HEJ23J2XxaDU58e4+wLhafTv8Kt91ApW8LwSb4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mrDAwQAAANoAAAAPAAAAAAAAAAAAAAAA&#10;AKECAABkcnMvZG93bnJldi54bWxQSwUGAAAAAAQABAD5AAAAjwMAAAAA&#10;" strokeweight="14pt">
                  <o:lock v:ext="edit" aspectratio="t"/>
                </v:line>
                <v:line id="Line 30" o:spid="_x0000_s1028" style="position:absolute;visibility:visible;mso-wrap-style:square" from="2250,1455" to="10800,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o:lock v:ext="edit" aspectratio="t"/>
                </v:line>
              </v:group>
            </w:pict>
          </mc:Fallback>
        </mc:AlternateContent>
      </w:r>
    </w:p>
    <w:p w:rsidR="00081848" w:rsidRPr="009C4ABF" w:rsidRDefault="00081848" w:rsidP="009C4ABF">
      <w:pPr>
        <w:jc w:val="right"/>
      </w:pPr>
    </w:p>
    <w:p w:rsidR="004B72C0" w:rsidRPr="004B72C0" w:rsidRDefault="004B72C0" w:rsidP="004B72C0">
      <w:pPr>
        <w:autoSpaceDE w:val="0"/>
        <w:autoSpaceDN w:val="0"/>
        <w:adjustRightInd w:val="0"/>
        <w:jc w:val="center"/>
        <w:rPr>
          <w:rFonts w:ascii="Swis721BlkBT,Italic" w:hAnsi="Swis721BlkBT,Italic" w:cs="Swis721BlkBT,Italic"/>
          <w:b/>
          <w:iCs/>
          <w:sz w:val="32"/>
          <w:szCs w:val="32"/>
        </w:rPr>
      </w:pPr>
      <w:bookmarkStart w:id="0" w:name="_Toc345702897"/>
      <w:bookmarkStart w:id="1" w:name="_Toc351623506"/>
      <w:bookmarkStart w:id="2" w:name="_Toc420418161"/>
      <w:r w:rsidRPr="004B72C0">
        <w:rPr>
          <w:rFonts w:ascii="Swis721BlkBT,Italic" w:hAnsi="Swis721BlkBT,Italic" w:cs="Swis721BlkBT,Italic"/>
          <w:b/>
          <w:iCs/>
          <w:sz w:val="32"/>
          <w:szCs w:val="32"/>
        </w:rPr>
        <w:t>DISADVANTAGED BUSINESS</w:t>
      </w:r>
    </w:p>
    <w:p w:rsidR="004B72C0" w:rsidRPr="004B72C0" w:rsidRDefault="004B72C0" w:rsidP="004B72C0">
      <w:pPr>
        <w:autoSpaceDE w:val="0"/>
        <w:autoSpaceDN w:val="0"/>
        <w:adjustRightInd w:val="0"/>
        <w:jc w:val="center"/>
        <w:rPr>
          <w:rFonts w:ascii="Swis721BlkBT,Italic" w:hAnsi="Swis721BlkBT,Italic" w:cs="Swis721BlkBT,Italic"/>
          <w:b/>
          <w:iCs/>
          <w:sz w:val="32"/>
          <w:szCs w:val="32"/>
        </w:rPr>
      </w:pPr>
      <w:r w:rsidRPr="004B72C0">
        <w:rPr>
          <w:rFonts w:ascii="Swis721BlkBT,Italic" w:hAnsi="Swis721BlkBT,Italic" w:cs="Swis721BlkBT,Italic"/>
          <w:b/>
          <w:iCs/>
          <w:sz w:val="32"/>
          <w:szCs w:val="32"/>
        </w:rPr>
        <w:t>ENTERPRISE OVERALL GOAL AND GOAL</w:t>
      </w:r>
    </w:p>
    <w:p w:rsidR="00AE29C1" w:rsidRDefault="004B72C0" w:rsidP="004B72C0">
      <w:pPr>
        <w:autoSpaceDE w:val="0"/>
        <w:autoSpaceDN w:val="0"/>
        <w:adjustRightInd w:val="0"/>
        <w:jc w:val="center"/>
        <w:rPr>
          <w:rFonts w:ascii="Swis721BlkBT,Italic" w:hAnsi="Swis721BlkBT,Italic" w:cs="Swis721BlkBT,Italic"/>
          <w:iCs/>
          <w:sz w:val="32"/>
          <w:szCs w:val="32"/>
        </w:rPr>
      </w:pPr>
      <w:r w:rsidRPr="004B72C0">
        <w:rPr>
          <w:rFonts w:ascii="Swis721BlkBT,Italic" w:hAnsi="Swis721BlkBT,Italic" w:cs="Swis721BlkBT,Italic"/>
          <w:b/>
          <w:iCs/>
          <w:sz w:val="32"/>
          <w:szCs w:val="32"/>
        </w:rPr>
        <w:t>SETTING METHODOLOGY REPORT</w:t>
      </w:r>
      <w:r w:rsidR="00AE29C1">
        <w:rPr>
          <w:rFonts w:ascii="Swis721BlkBT,Italic" w:hAnsi="Swis721BlkBT,Italic" w:cs="Swis721BlkBT,Italic"/>
          <w:iCs/>
          <w:sz w:val="32"/>
          <w:szCs w:val="32"/>
        </w:rPr>
        <w:t xml:space="preserve"> </w:t>
      </w:r>
    </w:p>
    <w:p w:rsidR="00AE29C1" w:rsidRDefault="00AE29C1" w:rsidP="004B72C0">
      <w:pPr>
        <w:autoSpaceDE w:val="0"/>
        <w:autoSpaceDN w:val="0"/>
        <w:adjustRightInd w:val="0"/>
        <w:jc w:val="center"/>
        <w:rPr>
          <w:rFonts w:ascii="Swis721BlkBT,Italic" w:hAnsi="Swis721BlkBT,Italic" w:cs="Swis721BlkBT,Italic"/>
          <w:iCs/>
          <w:sz w:val="32"/>
          <w:szCs w:val="32"/>
        </w:rPr>
      </w:pPr>
    </w:p>
    <w:p w:rsidR="004B72C0" w:rsidRPr="00AE29C1" w:rsidRDefault="00AE29C1" w:rsidP="004B72C0">
      <w:pPr>
        <w:autoSpaceDE w:val="0"/>
        <w:autoSpaceDN w:val="0"/>
        <w:adjustRightInd w:val="0"/>
        <w:jc w:val="center"/>
        <w:rPr>
          <w:rFonts w:ascii="Swis721BlkBT,Italic" w:hAnsi="Swis721BlkBT,Italic" w:cs="Swis721BlkBT,Italic"/>
          <w:b/>
          <w:iCs/>
          <w:sz w:val="28"/>
          <w:szCs w:val="28"/>
        </w:rPr>
      </w:pPr>
      <w:r w:rsidRPr="00AE29C1">
        <w:rPr>
          <w:rFonts w:ascii="Swis721BlkBT,Italic" w:hAnsi="Swis721BlkBT,Italic" w:cs="Swis721BlkBT,Italic"/>
          <w:b/>
          <w:iCs/>
          <w:sz w:val="28"/>
          <w:szCs w:val="28"/>
        </w:rPr>
        <w:t>FEDERAL FISCAL YEARS 2016-2018</w:t>
      </w:r>
    </w:p>
    <w:p w:rsidR="00081848" w:rsidRPr="00072ABB" w:rsidRDefault="004B72C0" w:rsidP="00AE29C1">
      <w:pPr>
        <w:pStyle w:val="Heading1"/>
        <w:numPr>
          <w:ilvl w:val="0"/>
          <w:numId w:val="0"/>
        </w:numPr>
        <w:ind w:left="720"/>
      </w:pPr>
      <w:r>
        <w:rPr>
          <w:rFonts w:ascii="Swis721 BlkEx BT" w:hAnsi="Swis721 BlkEx BT"/>
          <w:sz w:val="28"/>
          <w:szCs w:val="28"/>
        </w:rPr>
        <w:t xml:space="preserve">        </w:t>
      </w:r>
      <w:bookmarkEnd w:id="0"/>
      <w:bookmarkEnd w:id="1"/>
      <w:bookmarkEnd w:id="2"/>
    </w:p>
    <w:p w:rsidR="00081848" w:rsidRPr="004B72C0" w:rsidRDefault="00081848" w:rsidP="0068191E">
      <w:pPr>
        <w:pStyle w:val="MTAHeading1"/>
        <w:numPr>
          <w:ilvl w:val="0"/>
          <w:numId w:val="6"/>
        </w:numPr>
        <w:outlineLvl w:val="1"/>
        <w:rPr>
          <w:i w:val="0"/>
        </w:rPr>
      </w:pPr>
      <w:bookmarkStart w:id="3" w:name="_Toc420418162"/>
      <w:r w:rsidRPr="004B72C0">
        <w:rPr>
          <w:i w:val="0"/>
        </w:rPr>
        <w:t>INTRODUCTION</w:t>
      </w:r>
      <w:bookmarkEnd w:id="3"/>
    </w:p>
    <w:p w:rsidR="00081848" w:rsidRDefault="00081848" w:rsidP="00B445C0"/>
    <w:p w:rsidR="00081848" w:rsidRPr="00AC6AD1" w:rsidRDefault="00081848" w:rsidP="00BB08DC">
      <w:r w:rsidRPr="00AC6AD1">
        <w:t xml:space="preserve">The Disadvantaged Business Enterprise (DBE) </w:t>
      </w:r>
      <w:r w:rsidR="004B72C0">
        <w:t xml:space="preserve">overall </w:t>
      </w:r>
      <w:r w:rsidRPr="00AC6AD1">
        <w:t>goal setting methodology is a requirement set forth in the United States Department of Transportation (USDOT) DBE regulations, 49 CFR Part 26.45.</w:t>
      </w:r>
      <w:r>
        <w:t xml:space="preserve"> </w:t>
      </w:r>
      <w:r w:rsidRPr="00AC6AD1">
        <w:t xml:space="preserve">The DBE regulations require USDOT recipients to set an overall </w:t>
      </w:r>
      <w:r>
        <w:t xml:space="preserve">triennial </w:t>
      </w:r>
      <w:r w:rsidRPr="00AC6AD1">
        <w:t>goal for DBE participation in their federally assisted projects.</w:t>
      </w:r>
      <w:r w:rsidRPr="00AC6AD1">
        <w:rPr>
          <w:rStyle w:val="FootnoteReference"/>
        </w:rPr>
        <w:footnoteReference w:id="1"/>
      </w:r>
      <w:r w:rsidRPr="00AC6AD1">
        <w:t xml:space="preserve"> </w:t>
      </w:r>
    </w:p>
    <w:p w:rsidR="00081848" w:rsidRPr="00AC6AD1" w:rsidRDefault="00081848" w:rsidP="00BB08DC"/>
    <w:p w:rsidR="00081848" w:rsidRDefault="00081848" w:rsidP="00BB08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C6AD1">
        <w:t>The regulations require that the overall goal be prepared using a two-step process.</w:t>
      </w:r>
      <w:r>
        <w:t xml:space="preserve"> </w:t>
      </w:r>
      <w:r w:rsidRPr="00AC6AD1">
        <w:t xml:space="preserve">According to the </w:t>
      </w:r>
      <w:r w:rsidRPr="00AC6AD1">
        <w:rPr>
          <w:i/>
        </w:rPr>
        <w:t>USDOT Tips for Goal Setting</w:t>
      </w:r>
      <w:r w:rsidRPr="00AC6AD1">
        <w:rPr>
          <w:rStyle w:val="FootnoteReference"/>
        </w:rPr>
        <w:footnoteReference w:id="2"/>
      </w:r>
      <w:r w:rsidRPr="00AC6AD1">
        <w:t xml:space="preserve"> (</w:t>
      </w:r>
      <w:r w:rsidRPr="00AC6AD1">
        <w:rPr>
          <w:i/>
        </w:rPr>
        <w:t>USDOT Tips</w:t>
      </w:r>
      <w:r w:rsidRPr="00AC6AD1">
        <w:t>), approved by the General Counsel of the USDOT</w:t>
      </w:r>
      <w:r>
        <w:t>, t</w:t>
      </w:r>
      <w:r w:rsidRPr="00AC6AD1">
        <w:t xml:space="preserve">he recipient must first determine a base figure for the relative availability of certified DBEs and potentially </w:t>
      </w:r>
      <w:r>
        <w:t>certified</w:t>
      </w:r>
      <w:r w:rsidRPr="00AC6AD1">
        <w:t xml:space="preserve"> </w:t>
      </w:r>
      <w:r>
        <w:t>M</w:t>
      </w:r>
      <w:r w:rsidRPr="00AC6AD1">
        <w:t xml:space="preserve">inority and </w:t>
      </w:r>
      <w:r>
        <w:t>W</w:t>
      </w:r>
      <w:r w:rsidRPr="00AC6AD1">
        <w:t xml:space="preserve">oman-owned </w:t>
      </w:r>
      <w:r>
        <w:t>Business E</w:t>
      </w:r>
      <w:r w:rsidRPr="00AC6AD1">
        <w:t>nterprises, hereafter collectively referred to as Disadvantaged Business Enterprises (DBEs), in the relevant market area. Next, the recipient must examine all relevant evidence to determine what adjustment, if any, is needed to the base figure in order to arrive at an overall goal.</w:t>
      </w:r>
      <w:r>
        <w:t xml:space="preserve"> </w:t>
      </w:r>
      <w:r w:rsidRPr="00AC6AD1">
        <w:t>The final adjusted figure is the recipient’s overall goal, and represents the proportion of federal transportation funding that the recipient is expected to allocate to DBEs during the subsequent three federal fiscal years (FFY).</w:t>
      </w:r>
      <w:r>
        <w:t xml:space="preserve"> </w:t>
      </w:r>
      <w:r w:rsidRPr="00AC6AD1">
        <w:t>Once the adjusted overall goal is determined, the process requires considering what portion of the goal will be met by race</w:t>
      </w:r>
      <w:r>
        <w:t>-</w:t>
      </w:r>
      <w:r w:rsidRPr="00AC6AD1">
        <w:t xml:space="preserve"> and gender-neutral measures. </w:t>
      </w:r>
    </w:p>
    <w:p w:rsidR="00081848" w:rsidRPr="00AC6AD1" w:rsidRDefault="00081848" w:rsidP="00BB08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81848" w:rsidRPr="00AC6AD1" w:rsidRDefault="00081848" w:rsidP="00BB08DC">
      <w:r w:rsidRPr="00AC6AD1">
        <w:t>If a recipient purports that it can meet its overall goal with race</w:t>
      </w:r>
      <w:r>
        <w:t>-</w:t>
      </w:r>
      <w:r w:rsidRPr="00AC6AD1">
        <w:t xml:space="preserve"> and gender-neutral measures, those measures must be utilized.</w:t>
      </w:r>
      <w:r>
        <w:t xml:space="preserve"> </w:t>
      </w:r>
      <w:r w:rsidRPr="00AC6AD1">
        <w:t>In contrast, if the recipient determines it cannot achieve the entire overall goal using only race</w:t>
      </w:r>
      <w:r>
        <w:t>-</w:t>
      </w:r>
      <w:r w:rsidRPr="00AC6AD1">
        <w:t xml:space="preserve"> and gender-neutral measures, it must establish a race</w:t>
      </w:r>
      <w:r>
        <w:t>-</w:t>
      </w:r>
      <w:r w:rsidRPr="00AC6AD1">
        <w:t xml:space="preserve"> and gender-conscious portion of the overall goal.</w:t>
      </w:r>
      <w:r w:rsidRPr="00AC6AD1">
        <w:rPr>
          <w:rStyle w:val="FootnoteReference"/>
        </w:rPr>
        <w:footnoteReference w:id="3"/>
      </w:r>
    </w:p>
    <w:p w:rsidR="00081848" w:rsidRPr="00AC6AD1" w:rsidRDefault="00081848" w:rsidP="00BB08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81848" w:rsidRPr="00AC6AD1" w:rsidRDefault="00081848" w:rsidP="00BB08DC">
      <w:r w:rsidRPr="00AC6AD1">
        <w:t xml:space="preserve">Pursuant to </w:t>
      </w:r>
      <w:r w:rsidRPr="00AC6AD1">
        <w:rPr>
          <w:i/>
        </w:rPr>
        <w:t>Western States Paving v. State of Washington</w:t>
      </w:r>
      <w:r w:rsidRPr="00AC6AD1">
        <w:rPr>
          <w:rStyle w:val="FootnoteReference"/>
        </w:rPr>
        <w:footnoteReference w:id="4"/>
      </w:r>
      <w:r w:rsidRPr="00AC6AD1">
        <w:rPr>
          <w:i/>
        </w:rPr>
        <w:t xml:space="preserve"> (Western States)</w:t>
      </w:r>
      <w:r w:rsidRPr="00AC6AD1">
        <w:t>,</w:t>
      </w:r>
      <w:r w:rsidRPr="00AC6AD1">
        <w:rPr>
          <w:color w:val="FF0000"/>
        </w:rPr>
        <w:t xml:space="preserve"> </w:t>
      </w:r>
      <w:r w:rsidRPr="00AC6AD1">
        <w:t>recipients in the Ninth Circuit cannot consider the use of a race</w:t>
      </w:r>
      <w:r>
        <w:t>-</w:t>
      </w:r>
      <w:r w:rsidRPr="00AC6AD1">
        <w:t xml:space="preserve"> </w:t>
      </w:r>
      <w:r>
        <w:t>or</w:t>
      </w:r>
      <w:r w:rsidRPr="00AC6AD1">
        <w:t xml:space="preserve"> gender-conscious goal unless a finding of </w:t>
      </w:r>
      <w:r>
        <w:t>statistically significant</w:t>
      </w:r>
      <w:r w:rsidRPr="00AC6AD1">
        <w:t xml:space="preserve"> disparity has been made for the ethnic and gender groups to be included in the race</w:t>
      </w:r>
      <w:r>
        <w:t>-</w:t>
      </w:r>
      <w:r w:rsidRPr="00AC6AD1">
        <w:t xml:space="preserve"> </w:t>
      </w:r>
      <w:r>
        <w:t xml:space="preserve">or </w:t>
      </w:r>
      <w:r w:rsidRPr="00AC6AD1">
        <w:t xml:space="preserve">gender-conscious goal. The Ninth Circuit determined that statistical findings demonstrating a “small disparity” are insufficient probative value to meet the strict scrutiny standard. Citing </w:t>
      </w:r>
      <w:proofErr w:type="spellStart"/>
      <w:r w:rsidRPr="00AC6AD1">
        <w:rPr>
          <w:i/>
        </w:rPr>
        <w:t>Croson</w:t>
      </w:r>
      <w:proofErr w:type="spellEnd"/>
      <w:r w:rsidRPr="00AC6AD1">
        <w:t xml:space="preserve">, the </w:t>
      </w:r>
      <w:r>
        <w:t>C</w:t>
      </w:r>
      <w:r w:rsidRPr="00AC6AD1">
        <w:t xml:space="preserve">ourt declared that an inference of discriminatory exclusion could arise where there is a </w:t>
      </w:r>
      <w:r>
        <w:t>statistically significant</w:t>
      </w:r>
      <w:r w:rsidRPr="00AC6AD1">
        <w:t xml:space="preserve"> disparity between the number of qualified minority contractors willing and able to perform a particular service and the number of such contractors actually engaged by the locality or its prime contractors.</w:t>
      </w:r>
    </w:p>
    <w:p w:rsidR="00081848" w:rsidRPr="00AC6AD1" w:rsidRDefault="00081848" w:rsidP="00BB08DC"/>
    <w:p w:rsidR="00081848" w:rsidRPr="00AC6AD1" w:rsidRDefault="00081848" w:rsidP="00BB08DC">
      <w:pPr>
        <w:rPr>
          <w:i/>
        </w:rPr>
      </w:pPr>
      <w:r w:rsidRPr="00AC6AD1">
        <w:t xml:space="preserve">This </w:t>
      </w:r>
      <w:r w:rsidRPr="00AC6AD1">
        <w:rPr>
          <w:i/>
        </w:rPr>
        <w:t>Overall DBE Goal Setting Report</w:t>
      </w:r>
      <w:r w:rsidRPr="00AC6AD1">
        <w:t xml:space="preserve"> is based upon the DBE regulations contained in 49 CFR Part 26.45, as amended, the decisions of the United States Federal Court, and the </w:t>
      </w:r>
      <w:r w:rsidRPr="00AC6AD1">
        <w:rPr>
          <w:i/>
        </w:rPr>
        <w:t>USDOT Guidance Memorandum.</w:t>
      </w:r>
    </w:p>
    <w:p w:rsidR="00081848" w:rsidRDefault="00081848" w:rsidP="00BE5384">
      <w:pPr>
        <w:spacing w:line="276" w:lineRule="auto"/>
      </w:pPr>
    </w:p>
    <w:p w:rsidR="00081848" w:rsidRPr="004B72C0" w:rsidRDefault="00081848" w:rsidP="00BE5384">
      <w:pPr>
        <w:pStyle w:val="MTAHeading1"/>
        <w:numPr>
          <w:ilvl w:val="0"/>
          <w:numId w:val="2"/>
        </w:numPr>
        <w:spacing w:line="276" w:lineRule="auto"/>
        <w:outlineLvl w:val="1"/>
        <w:rPr>
          <w:i w:val="0"/>
        </w:rPr>
      </w:pPr>
      <w:bookmarkStart w:id="4" w:name="_Toc345702899"/>
      <w:bookmarkStart w:id="5" w:name="_Toc420418163"/>
      <w:r w:rsidRPr="004B72C0">
        <w:rPr>
          <w:i w:val="0"/>
        </w:rPr>
        <w:t>PROPOSED OVERALL GOAL FOR FFY 2016-201</w:t>
      </w:r>
      <w:bookmarkEnd w:id="4"/>
      <w:r w:rsidRPr="004B72C0">
        <w:rPr>
          <w:i w:val="0"/>
        </w:rPr>
        <w:t>8</w:t>
      </w:r>
      <w:bookmarkEnd w:id="5"/>
    </w:p>
    <w:p w:rsidR="00081848" w:rsidRPr="00BD413A" w:rsidRDefault="00081848" w:rsidP="00BE5384"/>
    <w:p w:rsidR="00081848" w:rsidRPr="00AC6AD1" w:rsidRDefault="00081848" w:rsidP="007C3937">
      <w:r w:rsidRPr="00AC6AD1">
        <w:t xml:space="preserve">Based on the requirements set forth in 49 CFR Part 26, </w:t>
      </w:r>
      <w:r w:rsidRPr="00AC6AD1">
        <w:rPr>
          <w:i/>
        </w:rPr>
        <w:t>Western States</w:t>
      </w:r>
      <w:r w:rsidRPr="00AC6AD1">
        <w:t xml:space="preserve"> and the </w:t>
      </w:r>
      <w:r w:rsidRPr="00AC6AD1">
        <w:rPr>
          <w:i/>
        </w:rPr>
        <w:t>USDOT’s Guidance Memorandum</w:t>
      </w:r>
      <w:r w:rsidRPr="00AC6AD1">
        <w:t>, Los Angeles County Metropolitan Transportation Authority (Metro) is submitting a goal for FFY 201</w:t>
      </w:r>
      <w:r>
        <w:t>6</w:t>
      </w:r>
      <w:r w:rsidRPr="00AC6AD1">
        <w:t>-201</w:t>
      </w:r>
      <w:r w:rsidRPr="00916EA3">
        <w:t>8</w:t>
      </w:r>
      <w:r w:rsidRPr="00916EA3">
        <w:rPr>
          <w:bCs/>
        </w:rPr>
        <w:t>.</w:t>
      </w:r>
      <w:r>
        <w:rPr>
          <w:b/>
          <w:bCs/>
        </w:rPr>
        <w:t xml:space="preserve"> </w:t>
      </w:r>
      <w:r w:rsidRPr="00AC6AD1">
        <w:rPr>
          <w:bCs/>
        </w:rPr>
        <w:t>The recommended overall DBE goal for the period</w:t>
      </w:r>
      <w:r w:rsidRPr="00AC6AD1">
        <w:rPr>
          <w:b/>
          <w:bCs/>
        </w:rPr>
        <w:t xml:space="preserve"> </w:t>
      </w:r>
      <w:r w:rsidRPr="00AC6AD1">
        <w:t xml:space="preserve">is </w:t>
      </w:r>
      <w:r>
        <w:t xml:space="preserve">18%. The weighted figure of 18.42% was rounded down to 18%. </w:t>
      </w:r>
      <w:r w:rsidRPr="00AC6AD1">
        <w:t xml:space="preserve">The Federal Transit Administration (FTA) reporting period for the recommended overall goal will be </w:t>
      </w:r>
      <w:r w:rsidRPr="0046160B">
        <w:t>October 1, 2016, to September 30, 2018.</w:t>
      </w:r>
    </w:p>
    <w:p w:rsidR="00081848" w:rsidRPr="00BD413A" w:rsidRDefault="00081848" w:rsidP="00BE5384"/>
    <w:p w:rsidR="00081848" w:rsidRPr="004B72C0" w:rsidRDefault="00081848" w:rsidP="00BE5384">
      <w:pPr>
        <w:pStyle w:val="MTAHeading1"/>
        <w:numPr>
          <w:ilvl w:val="0"/>
          <w:numId w:val="2"/>
        </w:numPr>
        <w:spacing w:line="276" w:lineRule="auto"/>
        <w:outlineLvl w:val="1"/>
        <w:rPr>
          <w:i w:val="0"/>
        </w:rPr>
      </w:pPr>
      <w:bookmarkStart w:id="6" w:name="_Toc345702900"/>
      <w:bookmarkStart w:id="7" w:name="_Toc420418164"/>
      <w:r w:rsidRPr="004B72C0">
        <w:rPr>
          <w:i w:val="0"/>
        </w:rPr>
        <w:t>OVERALL GOAL SETTING METHODOLOGY</w:t>
      </w:r>
      <w:bookmarkEnd w:id="6"/>
      <w:bookmarkEnd w:id="7"/>
    </w:p>
    <w:p w:rsidR="00081848" w:rsidRDefault="00081848" w:rsidP="00BE5384"/>
    <w:p w:rsidR="00081848" w:rsidRPr="00AC6AD1" w:rsidRDefault="00081848" w:rsidP="00BB08DC">
      <w:bookmarkStart w:id="8" w:name="_Toc345082590"/>
      <w:r w:rsidRPr="00AC6AD1">
        <w:t xml:space="preserve">The two-step goal setting process required by the regulations and the findings of </w:t>
      </w:r>
      <w:r w:rsidRPr="00AC6AD1">
        <w:rPr>
          <w:i/>
        </w:rPr>
        <w:t>Western States</w:t>
      </w:r>
      <w:r w:rsidRPr="00AC6AD1">
        <w:t xml:space="preserve"> has been used to determine the recommended overall goal for FFY 201</w:t>
      </w:r>
      <w:r>
        <w:t>6</w:t>
      </w:r>
      <w:r w:rsidRPr="00AC6AD1">
        <w:t>-201</w:t>
      </w:r>
      <w:r>
        <w:t>8</w:t>
      </w:r>
      <w:r w:rsidRPr="00AC6AD1">
        <w:t>.</w:t>
      </w:r>
      <w:r>
        <w:t xml:space="preserve"> </w:t>
      </w:r>
      <w:r w:rsidRPr="00AC6AD1">
        <w:t>The two steps for setting an overall goal are</w:t>
      </w:r>
      <w:r>
        <w:t xml:space="preserve"> to</w:t>
      </w:r>
      <w:r w:rsidRPr="00AC6AD1">
        <w:t>:</w:t>
      </w:r>
    </w:p>
    <w:p w:rsidR="00081848" w:rsidRPr="00AC6AD1" w:rsidRDefault="00081848" w:rsidP="00BB08DC"/>
    <w:p w:rsidR="00081848" w:rsidRPr="00AC6AD1" w:rsidRDefault="00081848" w:rsidP="00BB08DC">
      <w:pPr>
        <w:pStyle w:val="ListParagraph"/>
        <w:numPr>
          <w:ilvl w:val="0"/>
          <w:numId w:val="8"/>
        </w:numPr>
      </w:pPr>
      <w:r>
        <w:t>E</w:t>
      </w:r>
      <w:r w:rsidRPr="00AC6AD1">
        <w:t>stablish a base figure for the relative availability of DBEs</w:t>
      </w:r>
    </w:p>
    <w:p w:rsidR="00081848" w:rsidRPr="00AC6AD1" w:rsidRDefault="00081848" w:rsidP="00BB08DC">
      <w:pPr>
        <w:pStyle w:val="ListParagraph"/>
        <w:numPr>
          <w:ilvl w:val="0"/>
          <w:numId w:val="8"/>
        </w:numPr>
      </w:pPr>
      <w:r>
        <w:t>D</w:t>
      </w:r>
      <w:r w:rsidRPr="00AC6AD1">
        <w:t>etermine the base figure adjustment, if necessary</w:t>
      </w:r>
    </w:p>
    <w:p w:rsidR="00081848" w:rsidRPr="00AC6AD1" w:rsidRDefault="00081848" w:rsidP="00BB08DC"/>
    <w:p w:rsidR="00081848" w:rsidRDefault="00081848" w:rsidP="00BB08DC">
      <w:r w:rsidRPr="00AC6AD1">
        <w:t>The base figure is intended to be a measurement of the current ready, willing, and able DBEs as a percentage of all businesses ready, willing</w:t>
      </w:r>
      <w:r>
        <w:t>,</w:t>
      </w:r>
      <w:r w:rsidRPr="00AC6AD1">
        <w:t xml:space="preserve"> and able to perform the recipient’s anticipated FTA-assisted contracts.</w:t>
      </w:r>
      <w:r w:rsidRPr="00AC6AD1">
        <w:rPr>
          <w:rStyle w:val="FootnoteReference"/>
        </w:rPr>
        <w:footnoteReference w:id="5"/>
      </w:r>
      <w:r>
        <w:t xml:space="preserve"> </w:t>
      </w:r>
      <w:r w:rsidRPr="00AC6AD1">
        <w:t xml:space="preserve">The regulations present five options for establishing </w:t>
      </w:r>
      <w:r w:rsidRPr="00AC6AD1">
        <w:lastRenderedPageBreak/>
        <w:t xml:space="preserve">a base figure for relative availability of DBEs. The five options as set forth in the regulations are listed in </w:t>
      </w:r>
      <w:r>
        <w:t>Table 1</w:t>
      </w:r>
      <w:r w:rsidRPr="00AC6AD1">
        <w:t>.01.</w:t>
      </w:r>
    </w:p>
    <w:p w:rsidR="00081848" w:rsidRDefault="00081848">
      <w:pPr>
        <w:jc w:val="left"/>
      </w:pPr>
    </w:p>
    <w:p w:rsidR="00081848" w:rsidRPr="00AC6AD1" w:rsidRDefault="00081848" w:rsidP="007C3937">
      <w:pPr>
        <w:pStyle w:val="Caption"/>
        <w:jc w:val="center"/>
        <w:rPr>
          <w:b w:val="0"/>
          <w:bCs w:val="0"/>
          <w:sz w:val="24"/>
          <w:szCs w:val="24"/>
        </w:rPr>
      </w:pPr>
      <w:bookmarkStart w:id="9" w:name="_Toc327283727"/>
      <w:bookmarkStart w:id="10" w:name="_Toc266895943"/>
      <w:bookmarkStart w:id="11" w:name="_Toc266945545"/>
      <w:bookmarkStart w:id="12" w:name="_Toc345082612"/>
      <w:bookmarkStart w:id="13" w:name="_Toc345083998"/>
      <w:bookmarkStart w:id="14" w:name="_Toc349839705"/>
      <w:bookmarkStart w:id="15" w:name="_Toc420607862"/>
      <w:bookmarkEnd w:id="8"/>
      <w:r>
        <w:rPr>
          <w:sz w:val="24"/>
          <w:szCs w:val="24"/>
        </w:rPr>
        <w:t>Table 1</w:t>
      </w:r>
      <w:r w:rsidRPr="00AC6AD1">
        <w:rPr>
          <w:sz w:val="24"/>
          <w:szCs w:val="24"/>
        </w:rPr>
        <w:t>.0</w:t>
      </w:r>
      <w:fldSimple w:instr=" SEQ Table \* MERGEFORMAT ">
        <w:r w:rsidR="003F72B8" w:rsidRPr="003F72B8">
          <w:rPr>
            <w:noProof/>
            <w:sz w:val="24"/>
            <w:szCs w:val="24"/>
          </w:rPr>
          <w:t>1</w:t>
        </w:r>
      </w:fldSimple>
      <w:r w:rsidRPr="00AC6AD1">
        <w:rPr>
          <w:sz w:val="24"/>
          <w:szCs w:val="24"/>
        </w:rPr>
        <w:t xml:space="preserve">: </w:t>
      </w:r>
      <w:bookmarkEnd w:id="9"/>
      <w:r w:rsidRPr="00AC6AD1">
        <w:rPr>
          <w:bCs w:val="0"/>
          <w:sz w:val="24"/>
          <w:szCs w:val="24"/>
        </w:rPr>
        <w:t>Methods to Determine Baseline Figure</w:t>
      </w:r>
      <w:bookmarkEnd w:id="10"/>
      <w:bookmarkEnd w:id="11"/>
      <w:bookmarkEnd w:id="12"/>
      <w:bookmarkEnd w:id="13"/>
      <w:bookmarkEnd w:id="14"/>
      <w:bookmarkEnd w:id="15"/>
    </w:p>
    <w:p w:rsidR="00081848" w:rsidRDefault="00081848" w:rsidP="007C3937"/>
    <w:p w:rsidR="00081848" w:rsidRPr="00AC6AD1" w:rsidRDefault="00E46FD8" w:rsidP="007C3937">
      <w:pPr>
        <w:jc w:val="center"/>
      </w:pPr>
      <w:r>
        <w:rPr>
          <w:noProof/>
        </w:rPr>
        <w:drawing>
          <wp:inline distT="0" distB="0" distL="0" distR="0">
            <wp:extent cx="22860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114425"/>
                    </a:xfrm>
                    <a:prstGeom prst="rect">
                      <a:avLst/>
                    </a:prstGeom>
                    <a:noFill/>
                    <a:ln>
                      <a:noFill/>
                    </a:ln>
                  </pic:spPr>
                </pic:pic>
              </a:graphicData>
            </a:graphic>
          </wp:inline>
        </w:drawing>
      </w:r>
    </w:p>
    <w:p w:rsidR="00081848" w:rsidRDefault="00081848" w:rsidP="007C3937">
      <w:pPr>
        <w:pStyle w:val="Heading3"/>
        <w:numPr>
          <w:ilvl w:val="0"/>
          <w:numId w:val="0"/>
        </w:numPr>
        <w:jc w:val="center"/>
        <w:rPr>
          <w:szCs w:val="28"/>
        </w:rPr>
      </w:pPr>
    </w:p>
    <w:p w:rsidR="00081848" w:rsidRPr="00F227C4" w:rsidRDefault="00081848" w:rsidP="007C3937">
      <w:pPr>
        <w:pStyle w:val="Heading3"/>
        <w:tabs>
          <w:tab w:val="clear" w:pos="1721"/>
        </w:tabs>
        <w:ind w:left="540" w:hanging="450"/>
      </w:pPr>
      <w:r w:rsidRPr="00F227C4">
        <w:t>Bidders List Method</w:t>
      </w:r>
    </w:p>
    <w:p w:rsidR="00081848" w:rsidRPr="00731CED" w:rsidRDefault="00081848" w:rsidP="007C3937">
      <w:pPr>
        <w:keepNext/>
      </w:pPr>
    </w:p>
    <w:p w:rsidR="00081848" w:rsidRPr="00AC6AD1" w:rsidRDefault="00081848" w:rsidP="007C3937">
      <w:r w:rsidRPr="00AC6AD1">
        <w:t>This method for calculating a base figure requires Metro to have a comprehensive bidders list with DBE prime contractors and subcontractors classified by industry in order to determine availability.</w:t>
      </w:r>
      <w:r>
        <w:t xml:space="preserve"> </w:t>
      </w:r>
      <w:r w:rsidRPr="00AC6AD1">
        <w:t>This method limits DBE availability to the number of businesses that have directly participated in, or attempted to participate in, Metro’s FTA-assisted contracts in the recent past.</w:t>
      </w:r>
      <w:r>
        <w:t xml:space="preserve"> </w:t>
      </w:r>
      <w:r w:rsidRPr="00AC6AD1">
        <w:t>It does not include potential DBEs which have not bid on Metro’s FTA-assisted contracts as either a prime contractor or subcontractor.</w:t>
      </w:r>
    </w:p>
    <w:p w:rsidR="00081848" w:rsidRDefault="00081848" w:rsidP="007C3937"/>
    <w:p w:rsidR="00081848" w:rsidRPr="00731CED" w:rsidRDefault="00081848" w:rsidP="007C3937">
      <w:pPr>
        <w:pStyle w:val="Heading3"/>
        <w:tabs>
          <w:tab w:val="clear" w:pos="1721"/>
        </w:tabs>
        <w:ind w:left="540" w:hanging="450"/>
      </w:pPr>
      <w:bookmarkStart w:id="16" w:name="_Toc345082591"/>
      <w:r w:rsidRPr="00F227C4">
        <w:t>DBE Directories and Census Data Method</w:t>
      </w:r>
      <w:bookmarkEnd w:id="16"/>
    </w:p>
    <w:p w:rsidR="00081848" w:rsidRPr="00731CED" w:rsidRDefault="00081848" w:rsidP="007C3937">
      <w:pPr>
        <w:pStyle w:val="3Paragraph"/>
        <w:keepNext/>
        <w:ind w:left="0" w:firstLine="0"/>
        <w:jc w:val="both"/>
      </w:pPr>
    </w:p>
    <w:p w:rsidR="00081848" w:rsidRPr="00AC6AD1" w:rsidRDefault="00081848" w:rsidP="007C3937">
      <w:r w:rsidRPr="00AC6AD1">
        <w:t>DBE directories of California USDOT recipients are consolidated into the California Unified Certification Program (CUCP) database.</w:t>
      </w:r>
      <w:r>
        <w:t xml:space="preserve"> </w:t>
      </w:r>
      <w:r w:rsidRPr="00AC6AD1">
        <w:t>Using the CUCP database to determine DBE availability is limited to USDOT-certified businesses</w:t>
      </w:r>
      <w:r>
        <w:t>.</w:t>
      </w:r>
      <w:r w:rsidRPr="00AC6AD1">
        <w:t xml:space="preserve"> </w:t>
      </w:r>
      <w:r>
        <w:t>H</w:t>
      </w:r>
      <w:r w:rsidRPr="00AC6AD1">
        <w:t xml:space="preserve">owever, </w:t>
      </w:r>
      <w:r>
        <w:t xml:space="preserve">to determine availability, </w:t>
      </w:r>
      <w:r w:rsidRPr="00AC6AD1">
        <w:rPr>
          <w:i/>
        </w:rPr>
        <w:t>USDOT Tips</w:t>
      </w:r>
      <w:r w:rsidRPr="00AC6AD1">
        <w:t xml:space="preserve"> requires </w:t>
      </w:r>
      <w:r>
        <w:t>the inclusion of</w:t>
      </w:r>
      <w:r w:rsidRPr="00AC6AD1">
        <w:t xml:space="preserve"> businesses that are not certified but are potential DBEs to determine availability.</w:t>
      </w:r>
      <w:r>
        <w:t xml:space="preserve"> </w:t>
      </w:r>
      <w:r w:rsidRPr="00AC6AD1">
        <w:t>The Census Bureau’s County Business Pattern (CBP) data is derived from business</w:t>
      </w:r>
      <w:r>
        <w:t>es’</w:t>
      </w:r>
      <w:r w:rsidRPr="00AC6AD1">
        <w:t xml:space="preserve"> federal income tax filings and, therefore, cannot address businesses’ willingness to do business with Metro.</w:t>
      </w:r>
      <w:r>
        <w:t xml:space="preserve"> </w:t>
      </w:r>
      <w:r w:rsidRPr="00AC6AD1">
        <w:t xml:space="preserve">Additionally, the CBP does not have the functionality to filter businesses that work exclusively in the private sector, or those </w:t>
      </w:r>
      <w:r>
        <w:t xml:space="preserve">which are </w:t>
      </w:r>
      <w:r w:rsidRPr="00AC6AD1">
        <w:t>not interested in contracting with Metro.</w:t>
      </w:r>
      <w:r>
        <w:t xml:space="preserve"> </w:t>
      </w:r>
    </w:p>
    <w:p w:rsidR="00081848" w:rsidRPr="00731CED" w:rsidRDefault="00081848" w:rsidP="007C3937">
      <w:pPr>
        <w:pStyle w:val="Heading3"/>
        <w:numPr>
          <w:ilvl w:val="0"/>
          <w:numId w:val="0"/>
        </w:numPr>
      </w:pPr>
    </w:p>
    <w:p w:rsidR="00081848" w:rsidRPr="00F227C4" w:rsidRDefault="00081848" w:rsidP="007C3937">
      <w:pPr>
        <w:pStyle w:val="Heading3"/>
        <w:tabs>
          <w:tab w:val="clear" w:pos="1721"/>
        </w:tabs>
        <w:ind w:left="540" w:hanging="450"/>
      </w:pPr>
      <w:bookmarkStart w:id="17" w:name="_Toc345082592"/>
      <w:r w:rsidRPr="00F227C4">
        <w:t>Other Recipient’s Base Figure Method</w:t>
      </w:r>
      <w:bookmarkEnd w:id="17"/>
    </w:p>
    <w:p w:rsidR="00081848" w:rsidRPr="00731CED" w:rsidRDefault="00081848" w:rsidP="007C3937">
      <w:pPr>
        <w:keepNext/>
      </w:pPr>
    </w:p>
    <w:p w:rsidR="00081848" w:rsidRPr="00AC6AD1" w:rsidRDefault="00081848" w:rsidP="007C3937">
      <w:r w:rsidRPr="00AC6AD1">
        <w:t>This method uses the goal of another USDOT recipient as the base figure for relative availability.</w:t>
      </w:r>
      <w:r>
        <w:t xml:space="preserve"> </w:t>
      </w:r>
      <w:r w:rsidRPr="00AC6AD1">
        <w:t>Metro can only use another recipient’s goal if it is set in accordance with DBE regulations and performs similar contracting in a similar market area.</w:t>
      </w:r>
      <w:r>
        <w:t xml:space="preserve"> </w:t>
      </w:r>
      <w:r w:rsidRPr="00AC6AD1">
        <w:t>This method presumes that there is another USDOT recipient which does the same or similar contracting in the same geographic market area.</w:t>
      </w:r>
      <w:r>
        <w:t xml:space="preserve"> </w:t>
      </w:r>
      <w:r w:rsidRPr="00AC6AD1">
        <w:t>These conditions cannot be met in Metro’s market area.</w:t>
      </w:r>
    </w:p>
    <w:p w:rsidR="00081848" w:rsidRPr="00731CED" w:rsidRDefault="00081848" w:rsidP="007C3937"/>
    <w:p w:rsidR="00081848" w:rsidRPr="00F227C4" w:rsidRDefault="00081848" w:rsidP="007C3937">
      <w:pPr>
        <w:pStyle w:val="Heading3"/>
        <w:tabs>
          <w:tab w:val="clear" w:pos="1721"/>
        </w:tabs>
        <w:ind w:left="540" w:hanging="450"/>
      </w:pPr>
      <w:bookmarkStart w:id="18" w:name="_Toc345082593"/>
      <w:r w:rsidRPr="00F227C4">
        <w:t>Alternative Method</w:t>
      </w:r>
      <w:bookmarkEnd w:id="18"/>
    </w:p>
    <w:p w:rsidR="00081848" w:rsidRPr="00731CED" w:rsidRDefault="00081848" w:rsidP="007C3937">
      <w:pPr>
        <w:keepNext/>
      </w:pPr>
    </w:p>
    <w:p w:rsidR="00081848" w:rsidRPr="00AC6AD1" w:rsidRDefault="00081848" w:rsidP="007C3937">
      <w:r w:rsidRPr="00AC6AD1">
        <w:t>Alternative methods may be used to determine a base figure for the overall goal.</w:t>
      </w:r>
      <w:r>
        <w:t xml:space="preserve"> </w:t>
      </w:r>
      <w:r w:rsidRPr="00AC6AD1">
        <w:t xml:space="preserve">Any methodology used to determine a base figure must be based on demonstrable evidence of </w:t>
      </w:r>
      <w:r w:rsidRPr="00AC6AD1">
        <w:lastRenderedPageBreak/>
        <w:t>the local market conditions, and be designed to ultimately attain a goal that is related to the relative availability of DBEs and potential DBEs in the recipient’s market area.</w:t>
      </w:r>
      <w:r>
        <w:t xml:space="preserve"> </w:t>
      </w:r>
      <w:r w:rsidRPr="00AC6AD1">
        <w:t>The alternative method provides the most flexibility, but it is also subject to a higher level of scrutiny.</w:t>
      </w:r>
    </w:p>
    <w:p w:rsidR="00081848" w:rsidRPr="00731CED" w:rsidRDefault="00081848" w:rsidP="007C3937"/>
    <w:p w:rsidR="00081848" w:rsidRPr="00F227C4" w:rsidRDefault="00081848" w:rsidP="007C3937">
      <w:pPr>
        <w:pStyle w:val="Heading3"/>
        <w:tabs>
          <w:tab w:val="clear" w:pos="1721"/>
        </w:tabs>
        <w:ind w:left="540" w:hanging="450"/>
      </w:pPr>
      <w:bookmarkStart w:id="19" w:name="_Toc345082594"/>
      <w:r w:rsidRPr="00F227C4">
        <w:t>Disparity Study Method</w:t>
      </w:r>
      <w:bookmarkEnd w:id="19"/>
    </w:p>
    <w:p w:rsidR="00081848" w:rsidRPr="00AB3CED" w:rsidRDefault="00081848" w:rsidP="007C3937">
      <w:pPr>
        <w:keepNext/>
      </w:pPr>
    </w:p>
    <w:p w:rsidR="00081848" w:rsidRDefault="00081848" w:rsidP="007C3937">
      <w:r w:rsidRPr="00AC6AD1">
        <w:t>The disparity study methodology is the most comprehensive method for identifying ready, willing, and able DBEs that provide goods and services for Metro’s anticipated FTA-assisted projects.</w:t>
      </w:r>
      <w:r>
        <w:t xml:space="preserve"> </w:t>
      </w:r>
      <w:r w:rsidRPr="00AC6AD1">
        <w:t>A disparity study identifies businesses that made bids to the agency as either a prime or subcontractor, and those that are interested in bidding.</w:t>
      </w:r>
      <w:r>
        <w:t xml:space="preserve"> </w:t>
      </w:r>
      <w:r w:rsidRPr="00AC6AD1">
        <w:t xml:space="preserve">It enumerates DBEs </w:t>
      </w:r>
      <w:r>
        <w:t>that are</w:t>
      </w:r>
      <w:r w:rsidRPr="00AC6AD1">
        <w:t xml:space="preserve"> bidders a</w:t>
      </w:r>
      <w:r>
        <w:t>s well as</w:t>
      </w:r>
      <w:r w:rsidRPr="00AC6AD1">
        <w:t xml:space="preserve"> willing and able businesses which have not bid.</w:t>
      </w:r>
      <w:r>
        <w:t xml:space="preserve"> </w:t>
      </w:r>
      <w:r w:rsidRPr="00AC6AD1">
        <w:t xml:space="preserve">This method is also recommended by the </w:t>
      </w:r>
      <w:r w:rsidRPr="00AC6AD1">
        <w:rPr>
          <w:i/>
        </w:rPr>
        <w:t>USDOT Guidance Memorandum</w:t>
      </w:r>
      <w:r w:rsidRPr="00AC6AD1">
        <w:t xml:space="preserve"> for recipients in the Ninth Circuit. The availability data derived from </w:t>
      </w:r>
      <w:r w:rsidRPr="00253B13">
        <w:t>Metro’s 2012 Disadvantaged Business Enterprise (DBE) Program Disparity Study was utilized in</w:t>
      </w:r>
      <w:r w:rsidRPr="00AC6AD1">
        <w:t xml:space="preserve"> the goal setting process.</w:t>
      </w:r>
      <w:r>
        <w:t xml:space="preserve"> The availability of businesses as enumerated in the 2012 DBE Program Disparity Study was augmented with current certification, trade and business association, and chambers of commerce lists. </w:t>
      </w:r>
    </w:p>
    <w:p w:rsidR="004B72C0" w:rsidRDefault="004B72C0" w:rsidP="007C3937"/>
    <w:p w:rsidR="00081848" w:rsidRPr="004B72C0" w:rsidRDefault="00081848" w:rsidP="00BE5384">
      <w:pPr>
        <w:pStyle w:val="MTAHeading1"/>
        <w:numPr>
          <w:ilvl w:val="0"/>
          <w:numId w:val="2"/>
        </w:numPr>
        <w:spacing w:line="276" w:lineRule="auto"/>
        <w:jc w:val="left"/>
        <w:outlineLvl w:val="1"/>
        <w:rPr>
          <w:i w:val="0"/>
        </w:rPr>
      </w:pPr>
      <w:bookmarkStart w:id="20" w:name="_Toc345702901"/>
      <w:bookmarkStart w:id="21" w:name="_Toc420418165"/>
      <w:r w:rsidRPr="004B72C0">
        <w:rPr>
          <w:i w:val="0"/>
        </w:rPr>
        <w:t>STEP ONE BASE FIGURE CALCULATION</w:t>
      </w:r>
      <w:bookmarkEnd w:id="20"/>
      <w:bookmarkEnd w:id="21"/>
    </w:p>
    <w:p w:rsidR="00081848" w:rsidRDefault="00081848" w:rsidP="00BE5384">
      <w:pPr>
        <w:spacing w:line="276" w:lineRule="auto"/>
      </w:pPr>
    </w:p>
    <w:p w:rsidR="00081848" w:rsidRPr="00AE29C1" w:rsidRDefault="00081848" w:rsidP="00BB08DC">
      <w:pPr>
        <w:pStyle w:val="Heading2"/>
        <w:numPr>
          <w:ilvl w:val="1"/>
          <w:numId w:val="6"/>
        </w:numPr>
        <w:tabs>
          <w:tab w:val="clear" w:pos="936"/>
          <w:tab w:val="num" w:pos="720"/>
        </w:tabs>
        <w:ind w:left="0" w:firstLine="0"/>
        <w:jc w:val="left"/>
        <w:rPr>
          <w:i w:val="0"/>
          <w:szCs w:val="20"/>
        </w:rPr>
      </w:pPr>
      <w:bookmarkStart w:id="22" w:name="_Toc345085678"/>
      <w:bookmarkStart w:id="23" w:name="_Toc349839859"/>
      <w:bookmarkStart w:id="24" w:name="_Toc420418166"/>
      <w:bookmarkStart w:id="25" w:name="_Toc266895913"/>
      <w:bookmarkStart w:id="26" w:name="_Toc303351502"/>
      <w:bookmarkStart w:id="27" w:name="_Toc345702908"/>
      <w:r w:rsidRPr="00AE29C1">
        <w:rPr>
          <w:i w:val="0"/>
          <w:szCs w:val="20"/>
        </w:rPr>
        <w:t>Goal Setting Method</w:t>
      </w:r>
      <w:bookmarkEnd w:id="22"/>
      <w:r w:rsidRPr="00AE29C1">
        <w:rPr>
          <w:i w:val="0"/>
          <w:szCs w:val="20"/>
        </w:rPr>
        <w:t>ology</w:t>
      </w:r>
      <w:bookmarkEnd w:id="23"/>
      <w:bookmarkEnd w:id="24"/>
    </w:p>
    <w:p w:rsidR="00081848" w:rsidRPr="00AC6AD1" w:rsidRDefault="00081848" w:rsidP="00BB08DC"/>
    <w:p w:rsidR="00081848" w:rsidRPr="00AC6AD1" w:rsidRDefault="00081848" w:rsidP="00BB08DC">
      <w:pPr>
        <w:rPr>
          <w:bCs/>
          <w:iCs/>
        </w:rPr>
      </w:pPr>
      <w:r w:rsidRPr="00AC6AD1">
        <w:rPr>
          <w:bCs/>
          <w:iCs/>
        </w:rPr>
        <w:t>The initial phase of the Step One analysis requires the compilation of critical data regarding the recipient’s procurement.</w:t>
      </w:r>
      <w:r>
        <w:rPr>
          <w:bCs/>
          <w:iCs/>
        </w:rPr>
        <w:t xml:space="preserve"> </w:t>
      </w:r>
      <w:r w:rsidRPr="00AC6AD1">
        <w:rPr>
          <w:bCs/>
          <w:iCs/>
        </w:rPr>
        <w:t>The relevant data includes:</w:t>
      </w:r>
    </w:p>
    <w:p w:rsidR="00081848" w:rsidRPr="00AC6AD1" w:rsidRDefault="00081848" w:rsidP="00BB08DC">
      <w:pPr>
        <w:rPr>
          <w:bCs/>
          <w:iCs/>
        </w:rPr>
      </w:pPr>
    </w:p>
    <w:p w:rsidR="00081848" w:rsidRPr="00AC6AD1" w:rsidRDefault="00081848" w:rsidP="00BB08DC">
      <w:pPr>
        <w:pStyle w:val="ListParagraph"/>
        <w:numPr>
          <w:ilvl w:val="0"/>
          <w:numId w:val="14"/>
        </w:numPr>
        <w:rPr>
          <w:bCs/>
          <w:iCs/>
        </w:rPr>
      </w:pPr>
      <w:r w:rsidRPr="00AC6AD1">
        <w:rPr>
          <w:bCs/>
          <w:iCs/>
        </w:rPr>
        <w:t>Definition of the market area from an analysis of previous contract awards</w:t>
      </w:r>
    </w:p>
    <w:p w:rsidR="00081848" w:rsidRPr="00AC6AD1" w:rsidRDefault="00081848" w:rsidP="00BB08DC">
      <w:pPr>
        <w:pStyle w:val="ListParagraph"/>
        <w:numPr>
          <w:ilvl w:val="0"/>
          <w:numId w:val="14"/>
        </w:numPr>
        <w:rPr>
          <w:bCs/>
          <w:iCs/>
        </w:rPr>
      </w:pPr>
      <w:r w:rsidRPr="00AC6AD1">
        <w:rPr>
          <w:bCs/>
          <w:iCs/>
        </w:rPr>
        <w:t>Identification of the anticipated federally assisted projects and their costs</w:t>
      </w:r>
    </w:p>
    <w:p w:rsidR="00081848" w:rsidRPr="00AC6AD1" w:rsidRDefault="00081848" w:rsidP="00BB08DC">
      <w:pPr>
        <w:pStyle w:val="ListParagraph"/>
        <w:numPr>
          <w:ilvl w:val="0"/>
          <w:numId w:val="14"/>
        </w:numPr>
        <w:rPr>
          <w:bCs/>
          <w:iCs/>
        </w:rPr>
      </w:pPr>
      <w:r w:rsidRPr="00AC6AD1">
        <w:rPr>
          <w:bCs/>
          <w:iCs/>
        </w:rPr>
        <w:t>Classification of the anticipated federally assisted projects by North American Industry Classification System (NAICS) code</w:t>
      </w:r>
    </w:p>
    <w:p w:rsidR="00081848" w:rsidRPr="00AC6AD1" w:rsidRDefault="00081848" w:rsidP="00BB08DC">
      <w:pPr>
        <w:pStyle w:val="ListParagraph"/>
        <w:numPr>
          <w:ilvl w:val="0"/>
          <w:numId w:val="14"/>
        </w:numPr>
        <w:rPr>
          <w:bCs/>
          <w:iCs/>
        </w:rPr>
      </w:pPr>
      <w:r w:rsidRPr="00AC6AD1">
        <w:t>Enumeration of qualified businesses in the market area that are willing and able to provide</w:t>
      </w:r>
      <w:r>
        <w:t xml:space="preserve"> the</w:t>
      </w:r>
      <w:r w:rsidRPr="00AC6AD1">
        <w:t xml:space="preserve"> goods or services Metro anticipates awarding</w:t>
      </w:r>
    </w:p>
    <w:p w:rsidR="00081848" w:rsidRPr="00AC6AD1" w:rsidRDefault="00081848" w:rsidP="00BB08DC">
      <w:pPr>
        <w:pStyle w:val="ListParagraph"/>
        <w:numPr>
          <w:ilvl w:val="0"/>
          <w:numId w:val="14"/>
        </w:numPr>
        <w:rPr>
          <w:bCs/>
          <w:iCs/>
        </w:rPr>
      </w:pPr>
      <w:r w:rsidRPr="00AC6AD1">
        <w:t xml:space="preserve">Analyses of Metro’s expenditures that were funded by federal dollars during the </w:t>
      </w:r>
      <w:r>
        <w:t>2008-2011 study</w:t>
      </w:r>
      <w:r w:rsidRPr="007E4DC4">
        <w:t xml:space="preserve"> period</w:t>
      </w:r>
    </w:p>
    <w:p w:rsidR="00081848" w:rsidRPr="00AC6AD1" w:rsidRDefault="00081848" w:rsidP="00BB08DC">
      <w:pPr>
        <w:pStyle w:val="ListParagraph"/>
        <w:rPr>
          <w:bCs/>
          <w:iCs/>
        </w:rPr>
      </w:pPr>
    </w:p>
    <w:p w:rsidR="00081848" w:rsidRPr="00AC6AD1" w:rsidRDefault="00081848" w:rsidP="00BB08DC">
      <w:pPr>
        <w:pStyle w:val="Heading3"/>
        <w:tabs>
          <w:tab w:val="clear" w:pos="1721"/>
          <w:tab w:val="num" w:pos="720"/>
        </w:tabs>
        <w:ind w:hanging="1721"/>
      </w:pPr>
      <w:bookmarkStart w:id="28" w:name="_Toc345085679"/>
      <w:r w:rsidRPr="00AC6AD1">
        <w:t>Definition of Metro’s Relevant Market Area</w:t>
      </w:r>
      <w:bookmarkEnd w:id="25"/>
      <w:bookmarkEnd w:id="26"/>
      <w:bookmarkEnd w:id="28"/>
    </w:p>
    <w:p w:rsidR="00081848" w:rsidRPr="00AC6AD1" w:rsidRDefault="00081848" w:rsidP="00BB08DC">
      <w:pPr>
        <w:rPr>
          <w:bCs/>
          <w:i/>
          <w:iCs/>
        </w:rPr>
      </w:pPr>
    </w:p>
    <w:p w:rsidR="00081848" w:rsidRDefault="00081848" w:rsidP="00BB08DC">
      <w:r w:rsidRPr="006561D1">
        <w:rPr>
          <w:bCs/>
          <w:iCs/>
        </w:rPr>
        <w:t xml:space="preserve">The relevant market area in Metro’s 2012 DBE Program Disparity Study was determined by the </w:t>
      </w:r>
      <w:r w:rsidRPr="006561D1">
        <w:t xml:space="preserve">business location of prime contracts awarded during the January 1, </w:t>
      </w:r>
      <w:proofErr w:type="gramStart"/>
      <w:r w:rsidRPr="006561D1">
        <w:t>2008,</w:t>
      </w:r>
      <w:proofErr w:type="gramEnd"/>
      <w:r w:rsidRPr="006561D1">
        <w:t xml:space="preserve"> to December 31, 2010 study period. A cluster analysis was prepared by business location and award amount to define the market area. All procurement with non-profits and other government agencies were excluded from the analysis. The analysis shows </w:t>
      </w:r>
      <w:r>
        <w:t>71.86%</w:t>
      </w:r>
      <w:r w:rsidRPr="006561D1">
        <w:t xml:space="preserve"> of prime contract dollars were awarded to </w:t>
      </w:r>
      <w:r>
        <w:t>107</w:t>
      </w:r>
      <w:r w:rsidRPr="006561D1">
        <w:t xml:space="preserve"> businesses located in Los Angeles County, Metro’s market area. The remaining </w:t>
      </w:r>
      <w:r>
        <w:t>75</w:t>
      </w:r>
      <w:r w:rsidRPr="006561D1">
        <w:t xml:space="preserve"> businesses, which represent </w:t>
      </w:r>
      <w:r>
        <w:t>28.14%</w:t>
      </w:r>
      <w:r w:rsidRPr="006561D1">
        <w:t xml:space="preserve"> of contract </w:t>
      </w:r>
      <w:r w:rsidRPr="006561D1">
        <w:lastRenderedPageBreak/>
        <w:t>dollars, were awarded in areas outside of Los Angeles County.</w:t>
      </w:r>
      <w:r w:rsidRPr="006561D1">
        <w:rPr>
          <w:rStyle w:val="FootnoteReference"/>
        </w:rPr>
        <w:footnoteReference w:id="6"/>
      </w:r>
      <w:r w:rsidRPr="006561D1">
        <w:t xml:space="preserve"> Table 1.02 presents the location of utilized businesses during the study period. </w:t>
      </w:r>
      <w:bookmarkStart w:id="29" w:name="_Toc272500206"/>
      <w:bookmarkStart w:id="30" w:name="_Toc345083999"/>
    </w:p>
    <w:p w:rsidR="00081848" w:rsidRPr="006561D1" w:rsidRDefault="00081848" w:rsidP="00BB08DC"/>
    <w:p w:rsidR="00081848" w:rsidRPr="00AC6AD1" w:rsidRDefault="00081848" w:rsidP="00BB08DC">
      <w:pPr>
        <w:pStyle w:val="Caption"/>
        <w:jc w:val="center"/>
        <w:rPr>
          <w:b w:val="0"/>
        </w:rPr>
      </w:pPr>
      <w:bookmarkStart w:id="31" w:name="_Toc349839706"/>
      <w:bookmarkStart w:id="32" w:name="_Toc420607863"/>
      <w:r w:rsidRPr="006561D1">
        <w:rPr>
          <w:sz w:val="24"/>
          <w:szCs w:val="24"/>
        </w:rPr>
        <w:t>Table 1.0</w:t>
      </w:r>
      <w:fldSimple w:instr=" SEQ Table \* MERGEFORMAT ">
        <w:r w:rsidR="003F72B8" w:rsidRPr="003F72B8">
          <w:rPr>
            <w:noProof/>
            <w:sz w:val="24"/>
            <w:szCs w:val="24"/>
          </w:rPr>
          <w:t>2</w:t>
        </w:r>
      </w:fldSimple>
      <w:r w:rsidRPr="006561D1">
        <w:rPr>
          <w:sz w:val="24"/>
          <w:szCs w:val="24"/>
        </w:rPr>
        <w:t>: Vendors Utilized During Study Period</w:t>
      </w:r>
      <w:bookmarkEnd w:id="29"/>
      <w:bookmarkEnd w:id="30"/>
      <w:bookmarkEnd w:id="31"/>
      <w:bookmarkEnd w:id="32"/>
    </w:p>
    <w:p w:rsidR="00081848" w:rsidRDefault="00081848" w:rsidP="00055B1E">
      <w:pPr>
        <w:jc w:val="center"/>
        <w:rPr>
          <w:b/>
        </w:rPr>
      </w:pPr>
    </w:p>
    <w:p w:rsidR="00081848" w:rsidRPr="00AC6AD1" w:rsidRDefault="00E46FD8" w:rsidP="00055B1E">
      <w:pPr>
        <w:jc w:val="center"/>
        <w:rPr>
          <w:b/>
        </w:rPr>
      </w:pPr>
      <w:r>
        <w:rPr>
          <w:b/>
          <w:noProof/>
        </w:rPr>
        <w:drawing>
          <wp:inline distT="0" distB="0" distL="0" distR="0" wp14:anchorId="71B72298" wp14:editId="19B724DF">
            <wp:extent cx="395287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1200150"/>
                    </a:xfrm>
                    <a:prstGeom prst="rect">
                      <a:avLst/>
                    </a:prstGeom>
                    <a:noFill/>
                    <a:ln>
                      <a:noFill/>
                    </a:ln>
                  </pic:spPr>
                </pic:pic>
              </a:graphicData>
            </a:graphic>
          </wp:inline>
        </w:drawing>
      </w:r>
    </w:p>
    <w:p w:rsidR="00081848" w:rsidRDefault="00081848" w:rsidP="00BB08DC"/>
    <w:p w:rsidR="00081848" w:rsidRPr="00AC6AD1" w:rsidRDefault="00081848" w:rsidP="006561D1">
      <w:pPr>
        <w:pStyle w:val="Heading3"/>
        <w:tabs>
          <w:tab w:val="clear" w:pos="1721"/>
          <w:tab w:val="num" w:pos="720"/>
        </w:tabs>
        <w:ind w:hanging="1721"/>
      </w:pPr>
      <w:r w:rsidRPr="00AC6AD1">
        <w:t xml:space="preserve">Identify Procurement Types by NAICS Codes </w:t>
      </w:r>
    </w:p>
    <w:p w:rsidR="00081848" w:rsidRPr="00AC6AD1" w:rsidRDefault="00081848" w:rsidP="006561D1"/>
    <w:p w:rsidR="00081848" w:rsidRDefault="00081848" w:rsidP="006561D1">
      <w:r w:rsidRPr="00AC6AD1">
        <w:t>A six-digit NAICS code was assigned to each of the anticipated federally funded projects in FFY</w:t>
      </w:r>
      <w:bookmarkStart w:id="33" w:name="_Toc266895946"/>
      <w:r w:rsidRPr="00AC6AD1">
        <w:t xml:space="preserve"> 201</w:t>
      </w:r>
      <w:r>
        <w:t>6</w:t>
      </w:r>
      <w:r w:rsidRPr="00AC6AD1">
        <w:t>-201</w:t>
      </w:r>
      <w:r>
        <w:t>8</w:t>
      </w:r>
      <w:r w:rsidRPr="00AC6AD1">
        <w:t xml:space="preserve">. The NAICS codes were derived from the descriptions of the anticipated federally assisted projects. </w:t>
      </w:r>
      <w:r>
        <w:t>Table 1</w:t>
      </w:r>
      <w:r w:rsidRPr="00AC6AD1">
        <w:t>.04 below defines the NAICS codes by industry.</w:t>
      </w:r>
      <w:bookmarkStart w:id="34" w:name="_Toc349839708"/>
    </w:p>
    <w:p w:rsidR="00081848" w:rsidRDefault="00081848">
      <w:pPr>
        <w:jc w:val="left"/>
      </w:pPr>
    </w:p>
    <w:p w:rsidR="00081848" w:rsidRPr="00AC6AD1" w:rsidRDefault="00081848" w:rsidP="006561D1">
      <w:pPr>
        <w:jc w:val="center"/>
        <w:rPr>
          <w:b/>
        </w:rPr>
      </w:pPr>
      <w:bookmarkStart w:id="35" w:name="_Toc420607864"/>
      <w:r>
        <w:rPr>
          <w:b/>
        </w:rPr>
        <w:t>Table 1</w:t>
      </w:r>
      <w:r w:rsidRPr="008E7317">
        <w:rPr>
          <w:b/>
        </w:rPr>
        <w:t>.0</w:t>
      </w:r>
      <w:fldSimple w:instr=" SEQ Table \* MERGEFORMAT ">
        <w:r w:rsidR="003F72B8" w:rsidRPr="003F72B8">
          <w:rPr>
            <w:b/>
            <w:noProof/>
          </w:rPr>
          <w:t>3</w:t>
        </w:r>
      </w:fldSimple>
      <w:r w:rsidRPr="008E7317">
        <w:rPr>
          <w:b/>
        </w:rPr>
        <w:t xml:space="preserve">: FFY 2016-2018 </w:t>
      </w:r>
      <w:r>
        <w:rPr>
          <w:b/>
        </w:rPr>
        <w:t xml:space="preserve">Federally Assisted </w:t>
      </w:r>
      <w:r w:rsidRPr="008E7317">
        <w:rPr>
          <w:b/>
        </w:rPr>
        <w:t>Projects</w:t>
      </w:r>
      <w:bookmarkEnd w:id="33"/>
      <w:bookmarkEnd w:id="34"/>
      <w:r>
        <w:rPr>
          <w:b/>
        </w:rPr>
        <w:t xml:space="preserve"> by NAICS Code</w:t>
      </w:r>
      <w:bookmarkEnd w:id="35"/>
    </w:p>
    <w:p w:rsidR="00081848" w:rsidRDefault="00081848" w:rsidP="006561D1">
      <w:pPr>
        <w:jc w:val="center"/>
        <w:rPr>
          <w:b/>
          <w:bCs/>
        </w:rPr>
      </w:pPr>
    </w:p>
    <w:p w:rsidR="00081848" w:rsidRPr="00AC6AD1" w:rsidRDefault="00E46FD8" w:rsidP="006561D1">
      <w:pPr>
        <w:jc w:val="center"/>
        <w:rPr>
          <w:b/>
          <w:bCs/>
        </w:rPr>
      </w:pPr>
      <w:r>
        <w:rPr>
          <w:b/>
          <w:bCs/>
          <w:noProof/>
        </w:rPr>
        <w:drawing>
          <wp:inline distT="0" distB="0" distL="0" distR="0" wp14:anchorId="220E3809" wp14:editId="16886D84">
            <wp:extent cx="3457575" cy="3438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3438525"/>
                    </a:xfrm>
                    <a:prstGeom prst="rect">
                      <a:avLst/>
                    </a:prstGeom>
                    <a:noFill/>
                    <a:ln>
                      <a:noFill/>
                    </a:ln>
                  </pic:spPr>
                </pic:pic>
              </a:graphicData>
            </a:graphic>
          </wp:inline>
        </w:drawing>
      </w:r>
    </w:p>
    <w:p w:rsidR="00081848" w:rsidRDefault="00081848">
      <w:pPr>
        <w:jc w:val="left"/>
        <w:rPr>
          <w:b/>
          <w:bCs/>
        </w:rPr>
      </w:pPr>
      <w:r>
        <w:br w:type="page"/>
      </w:r>
    </w:p>
    <w:p w:rsidR="00081848" w:rsidRPr="00AC6AD1" w:rsidRDefault="00081848" w:rsidP="00BB08DC">
      <w:pPr>
        <w:pStyle w:val="Heading3"/>
        <w:tabs>
          <w:tab w:val="clear" w:pos="1721"/>
          <w:tab w:val="num" w:pos="720"/>
        </w:tabs>
        <w:ind w:hanging="1721"/>
      </w:pPr>
      <w:r w:rsidRPr="00AC6AD1">
        <w:lastRenderedPageBreak/>
        <w:t>Identify Anticipated Federally Assisted Projects</w:t>
      </w:r>
    </w:p>
    <w:p w:rsidR="00081848" w:rsidRPr="00AC6AD1" w:rsidRDefault="00081848" w:rsidP="00BB08DC"/>
    <w:p w:rsidR="00081848" w:rsidRPr="00AC6AD1" w:rsidRDefault="00081848" w:rsidP="00BB08DC">
      <w:r w:rsidRPr="00AC6AD1">
        <w:t>The federally assisted projects Metro anticipates awarding over the next three fiscal years were identified with the estimated cost of each project.</w:t>
      </w:r>
      <w:r>
        <w:t xml:space="preserve"> </w:t>
      </w:r>
      <w:r w:rsidRPr="00AC6AD1">
        <w:t xml:space="preserve">Estimated project costs for the three-year projections were grouped by NAICS code based on individual project descriptions. </w:t>
      </w:r>
      <w:r>
        <w:t>Table 1</w:t>
      </w:r>
      <w:r w:rsidRPr="00AC6AD1">
        <w:t>.03 presents the anticipated FFY 201</w:t>
      </w:r>
      <w:r>
        <w:t>6</w:t>
      </w:r>
      <w:r w:rsidRPr="00AC6AD1">
        <w:t>-201</w:t>
      </w:r>
      <w:r>
        <w:t>8</w:t>
      </w:r>
      <w:r w:rsidRPr="00AC6AD1">
        <w:t xml:space="preserve"> projects with the estimated budget.</w:t>
      </w:r>
    </w:p>
    <w:p w:rsidR="00081848" w:rsidRPr="00AC6AD1" w:rsidRDefault="00081848" w:rsidP="00BB08DC">
      <w:pPr>
        <w:rPr>
          <w:b/>
          <w:bCs/>
        </w:rPr>
      </w:pPr>
    </w:p>
    <w:p w:rsidR="00081848" w:rsidRDefault="00081848" w:rsidP="00BB08DC">
      <w:pPr>
        <w:jc w:val="center"/>
        <w:rPr>
          <w:b/>
          <w:bCs/>
        </w:rPr>
      </w:pPr>
      <w:bookmarkStart w:id="36" w:name="_Toc349839707"/>
      <w:bookmarkStart w:id="37" w:name="_Toc420607865"/>
      <w:r>
        <w:rPr>
          <w:b/>
          <w:bCs/>
        </w:rPr>
        <w:t>Table 1</w:t>
      </w:r>
      <w:r w:rsidRPr="00055B1E">
        <w:rPr>
          <w:b/>
          <w:bCs/>
        </w:rPr>
        <w:t>.0</w:t>
      </w:r>
      <w:fldSimple w:instr=" SEQ Table \* MERGEFORMAT ">
        <w:r w:rsidR="003F72B8" w:rsidRPr="003F72B8">
          <w:rPr>
            <w:b/>
            <w:bCs/>
            <w:noProof/>
          </w:rPr>
          <w:t>4</w:t>
        </w:r>
      </w:fldSimple>
      <w:r w:rsidRPr="00055B1E">
        <w:rPr>
          <w:b/>
          <w:bCs/>
        </w:rPr>
        <w:t xml:space="preserve">: Anticipated Projects </w:t>
      </w:r>
      <w:bookmarkEnd w:id="36"/>
      <w:r>
        <w:rPr>
          <w:b/>
          <w:bCs/>
        </w:rPr>
        <w:t>Estimated Contract Amount</w:t>
      </w:r>
      <w:bookmarkEnd w:id="37"/>
    </w:p>
    <w:p w:rsidR="00081848" w:rsidRDefault="00081848" w:rsidP="00BB08DC">
      <w:pPr>
        <w:jc w:val="center"/>
        <w:rPr>
          <w:b/>
          <w:bCs/>
        </w:rPr>
      </w:pPr>
    </w:p>
    <w:p w:rsidR="00081848" w:rsidRDefault="00E46FD8" w:rsidP="00BB08DC">
      <w:pPr>
        <w:jc w:val="center"/>
        <w:rPr>
          <w:b/>
          <w:bCs/>
        </w:rPr>
      </w:pPr>
      <w:r>
        <w:rPr>
          <w:b/>
          <w:bCs/>
          <w:noProof/>
        </w:rPr>
        <w:drawing>
          <wp:inline distT="0" distB="0" distL="0" distR="0" wp14:anchorId="0ADE15EE" wp14:editId="04FC0F0D">
            <wp:extent cx="4638675" cy="3762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3762375"/>
                    </a:xfrm>
                    <a:prstGeom prst="rect">
                      <a:avLst/>
                    </a:prstGeom>
                    <a:noFill/>
                    <a:ln>
                      <a:noFill/>
                    </a:ln>
                  </pic:spPr>
                </pic:pic>
              </a:graphicData>
            </a:graphic>
          </wp:inline>
        </w:drawing>
      </w:r>
    </w:p>
    <w:p w:rsidR="00081848" w:rsidRDefault="00081848" w:rsidP="00CE162E">
      <w:pPr>
        <w:rPr>
          <w:b/>
          <w:bCs/>
        </w:rPr>
      </w:pPr>
      <w:bookmarkStart w:id="38" w:name="_Toc345085684"/>
    </w:p>
    <w:p w:rsidR="00081848" w:rsidRPr="00AE29C1" w:rsidRDefault="00081848" w:rsidP="00BB08DC">
      <w:pPr>
        <w:pStyle w:val="Heading2"/>
        <w:numPr>
          <w:ilvl w:val="1"/>
          <w:numId w:val="2"/>
        </w:numPr>
        <w:ind w:left="0" w:firstLine="0"/>
        <w:rPr>
          <w:i w:val="0"/>
          <w:szCs w:val="20"/>
        </w:rPr>
      </w:pPr>
      <w:bookmarkStart w:id="39" w:name="_Toc303351505"/>
      <w:bookmarkStart w:id="40" w:name="_Toc345085686"/>
      <w:bookmarkStart w:id="41" w:name="_Toc349839860"/>
      <w:bookmarkStart w:id="42" w:name="_Toc420418167"/>
      <w:bookmarkEnd w:id="38"/>
      <w:r w:rsidRPr="00AE29C1">
        <w:rPr>
          <w:i w:val="0"/>
          <w:szCs w:val="20"/>
        </w:rPr>
        <w:t>Base Figure</w:t>
      </w:r>
      <w:bookmarkEnd w:id="39"/>
      <w:bookmarkEnd w:id="40"/>
      <w:r w:rsidRPr="00AE29C1">
        <w:rPr>
          <w:i w:val="0"/>
          <w:szCs w:val="20"/>
        </w:rPr>
        <w:t xml:space="preserve"> Determination</w:t>
      </w:r>
      <w:bookmarkEnd w:id="41"/>
      <w:bookmarkEnd w:id="42"/>
    </w:p>
    <w:p w:rsidR="00081848" w:rsidRPr="00AC6AD1" w:rsidRDefault="00081848" w:rsidP="00BB08DC">
      <w:pPr>
        <w:pStyle w:val="2Paragraph"/>
        <w:ind w:left="0" w:firstLine="0"/>
        <w:rPr>
          <w:rFonts w:cs="Times New Roman"/>
          <w:i/>
          <w:iCs/>
        </w:rPr>
      </w:pPr>
    </w:p>
    <w:p w:rsidR="00081848" w:rsidRPr="00AC6AD1" w:rsidRDefault="00081848" w:rsidP="00BB08DC">
      <w:r w:rsidRPr="00AC6AD1">
        <w:t>The base figure is intended to be a measurement of the relative percentage of ready, willing, and able DBEs.</w:t>
      </w:r>
      <w:r>
        <w:t xml:space="preserve"> </w:t>
      </w:r>
      <w:r w:rsidRPr="00AC6AD1">
        <w:t>The recipient is required to measure willing and able businesses in its marketplace, using the best available evidence, to derive a fair and accurate base figure that represents the percentage of available DBEs.</w:t>
      </w:r>
    </w:p>
    <w:p w:rsidR="00081848" w:rsidRDefault="00081848" w:rsidP="00BB08DC"/>
    <w:p w:rsidR="00081848" w:rsidRPr="00AC6AD1" w:rsidRDefault="00081848" w:rsidP="00BB08DC">
      <w:r w:rsidRPr="00AC6AD1">
        <w:t xml:space="preserve">According to Section 26.45(c) and </w:t>
      </w:r>
      <w:r>
        <w:rPr>
          <w:i/>
        </w:rPr>
        <w:t>USDOT Tips</w:t>
      </w:r>
      <w:r w:rsidRPr="00AC6AD1">
        <w:t>, the overall goal must be based on demonstrable evidence of ready, willing, and able DBEs relative to all ready, willing, and able non-DBE</w:t>
      </w:r>
      <w:r>
        <w:t>s</w:t>
      </w:r>
      <w:r w:rsidRPr="00AC6AD1">
        <w:t xml:space="preserve"> available to participate on Metro’s FTA-assisted contracts. </w:t>
      </w:r>
    </w:p>
    <w:p w:rsidR="00081848" w:rsidRPr="00AC6AD1" w:rsidRDefault="00081848" w:rsidP="00BB08DC"/>
    <w:p w:rsidR="00081848" w:rsidRDefault="00081848">
      <w:pPr>
        <w:jc w:val="left"/>
      </w:pPr>
      <w:r>
        <w:br w:type="page"/>
      </w:r>
    </w:p>
    <w:p w:rsidR="00081848" w:rsidRDefault="00081848" w:rsidP="00BB08DC">
      <w:r w:rsidRPr="00AC6AD1">
        <w:lastRenderedPageBreak/>
        <w:t>The USDOT rules require the calculation of the base figure using the following formula:</w:t>
      </w:r>
    </w:p>
    <w:p w:rsidR="00081848" w:rsidRPr="00AC6AD1" w:rsidRDefault="00081848" w:rsidP="00BB08DC"/>
    <w:p w:rsidR="00081848" w:rsidRPr="00CC0111" w:rsidRDefault="00CC0111" w:rsidP="00BB08DC">
      <w:pPr>
        <w:jc w:val="center"/>
        <w:rPr>
          <w:i/>
          <w:sz w:val="22"/>
          <w:szCs w:val="22"/>
          <w:oMath/>
        </w:rPr>
      </w:pPr>
      <w:bookmarkStart w:id="43" w:name="_GoBack"/>
      <m:oMathPara>
        <m:oMath>
          <m:r>
            <m:rPr>
              <m:nor/>
            </m:rPr>
            <w:rPr>
              <w:rFonts w:ascii="Cambria Math" w:hAnsi="Cambria Math"/>
              <w:i/>
              <w:sz w:val="22"/>
            </w:rPr>
            <m:t xml:space="preserve">Step One Base Figure= </m:t>
          </m:r>
          <m:f>
            <m:fPr>
              <m:ctrlPr>
                <w:rPr>
                  <w:rFonts w:ascii="Cambria Math" w:eastAsia="Calibri" w:hAnsi="Cambria Math"/>
                  <w:i/>
                  <w:sz w:val="20"/>
                  <w:szCs w:val="22"/>
                </w:rPr>
              </m:ctrlPr>
            </m:fPr>
            <m:num>
              <m:r>
                <m:rPr>
                  <m:nor/>
                </m:rPr>
                <w:rPr>
                  <w:rFonts w:ascii="Cambria Math" w:hAnsi="Cambria Math"/>
                  <w:i/>
                  <w:sz w:val="22"/>
                </w:rPr>
                <m:t>Ready, willing and able DBEs</m:t>
              </m:r>
            </m:num>
            <m:den>
              <m:eqArr>
                <m:eqArrPr>
                  <m:ctrlPr>
                    <w:rPr>
                      <w:rFonts w:ascii="Cambria Math" w:hAnsi="Cambria Math"/>
                      <w:i/>
                      <w:sz w:val="22"/>
                    </w:rPr>
                  </m:ctrlPr>
                </m:eqArrPr>
                <m:e>
                  <m:r>
                    <m:rPr>
                      <m:nor/>
                    </m:rPr>
                    <w:rPr>
                      <w:rFonts w:ascii="Cambria Math" w:hAnsi="Cambria Math"/>
                      <w:i/>
                      <w:sz w:val="22"/>
                    </w:rPr>
                    <m:t>All ready, willing and able businesses</m:t>
                  </m:r>
                </m:e>
                <m:e>
                  <m:r>
                    <m:rPr>
                      <m:nor/>
                    </m:rPr>
                    <w:rPr>
                      <w:rFonts w:ascii="Cambria Math" w:hAnsi="Cambria Math"/>
                      <w:i/>
                      <w:sz w:val="22"/>
                    </w:rPr>
                    <m:t>(Including DBEs and Non-DBEs)</m:t>
                  </m:r>
                </m:e>
              </m:eqArr>
            </m:den>
          </m:f>
        </m:oMath>
      </m:oMathPara>
    </w:p>
    <w:bookmarkEnd w:id="43"/>
    <w:p w:rsidR="00081848" w:rsidRDefault="00081848" w:rsidP="00BB08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81848" w:rsidRPr="00D25F7B" w:rsidRDefault="00081848" w:rsidP="00BB08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C6AD1">
        <w:t xml:space="preserve">The availability database compiled for </w:t>
      </w:r>
      <w:r w:rsidRPr="00253B13">
        <w:t xml:space="preserve">Metro’s 2012 DBE Program Disparity Study, </w:t>
      </w:r>
      <w:r>
        <w:t xml:space="preserve">which was augmented with updated certification and business directories, </w:t>
      </w:r>
      <w:r w:rsidRPr="00253B13">
        <w:t>was used as</w:t>
      </w:r>
      <w:r w:rsidRPr="00AC6AD1">
        <w:t xml:space="preserve"> the source to determine the availability of DBE</w:t>
      </w:r>
      <w:r>
        <w:t>s and non-DBE</w:t>
      </w:r>
      <w:r w:rsidRPr="00AC6AD1">
        <w:t>s. The availability database was populated using three sources which identified businesses in the market area that provide the goods and services that Metro procures.</w:t>
      </w:r>
      <w:r>
        <w:t xml:space="preserve"> </w:t>
      </w:r>
      <w:r w:rsidRPr="00AC6AD1">
        <w:t xml:space="preserve">The first source was Metro’s utilized businesses, the second source </w:t>
      </w:r>
      <w:r w:rsidRPr="00D25F7B">
        <w:t xml:space="preserve">was local, state and federal government certification lists, and the third source was business associations’ membership lists. Any business identified from more than one source was counted only once in an industry. </w:t>
      </w:r>
    </w:p>
    <w:p w:rsidR="00081848" w:rsidRPr="00D25F7B" w:rsidRDefault="00081848" w:rsidP="00BB08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81848" w:rsidRPr="00D25F7B" w:rsidRDefault="00081848" w:rsidP="00BB08DC">
      <w:r w:rsidRPr="00D25F7B">
        <w:t>To enumerate a more refined accounting of availability, the database was then queried for businesses within the NAICS codes of the anticipated contracts only.</w:t>
      </w:r>
      <w:r w:rsidRPr="00D25F7B">
        <w:rPr>
          <w:rStyle w:val="FootnoteReference"/>
        </w:rPr>
        <w:t xml:space="preserve"> </w:t>
      </w:r>
      <w:r w:rsidRPr="00D25F7B">
        <w:t>Businesses that do not perform the types of work related to the anticipated contracts were excluded to ensure that the base figure did not over</w:t>
      </w:r>
      <w:r>
        <w:t>state</w:t>
      </w:r>
      <w:r w:rsidRPr="00D25F7B">
        <w:t xml:space="preserve"> the number of available businesses. </w:t>
      </w:r>
      <w:r>
        <w:t>Table 1</w:t>
      </w:r>
      <w:r w:rsidRPr="00D25F7B">
        <w:t>.05 below presents the relative availability by NAICS code for FFY 201</w:t>
      </w:r>
      <w:r>
        <w:t>6</w:t>
      </w:r>
      <w:r w:rsidRPr="00D25F7B">
        <w:t>-201</w:t>
      </w:r>
      <w:r>
        <w:t>8</w:t>
      </w:r>
      <w:r w:rsidRPr="00D25F7B">
        <w:t xml:space="preserve">. The percent of available businesses in each NAICS code reflects the portion of all available businesses in the market area. The relative availability of DBEs within the market area is </w:t>
      </w:r>
      <w:r>
        <w:t>40.77%</w:t>
      </w:r>
      <w:r w:rsidRPr="00D25F7B">
        <w:t>.</w:t>
      </w:r>
      <w:r w:rsidRPr="00D25F7B">
        <w:rPr>
          <w:rStyle w:val="FootnoteReference"/>
        </w:rPr>
        <w:footnoteReference w:id="7"/>
      </w:r>
    </w:p>
    <w:p w:rsidR="00081848" w:rsidRPr="00AC6AD1" w:rsidRDefault="00081848" w:rsidP="00BB08DC"/>
    <w:p w:rsidR="00081848" w:rsidRPr="00AC6AD1" w:rsidRDefault="00081848" w:rsidP="00BB08DC">
      <w:pPr>
        <w:jc w:val="center"/>
        <w:rPr>
          <w:b/>
        </w:rPr>
      </w:pPr>
      <w:bookmarkStart w:id="44" w:name="_Toc266945549"/>
      <w:bookmarkStart w:id="45" w:name="_Toc349839709"/>
      <w:bookmarkStart w:id="46" w:name="_Toc420607866"/>
      <w:r>
        <w:rPr>
          <w:b/>
        </w:rPr>
        <w:t>Table 1</w:t>
      </w:r>
      <w:r w:rsidRPr="008E7317">
        <w:rPr>
          <w:b/>
        </w:rPr>
        <w:t>.0</w:t>
      </w:r>
      <w:fldSimple w:instr=" SEQ Table \* MERGEFORMAT ">
        <w:r w:rsidR="003F72B8" w:rsidRPr="003F72B8">
          <w:rPr>
            <w:b/>
            <w:noProof/>
          </w:rPr>
          <w:t>5</w:t>
        </w:r>
      </w:fldSimple>
      <w:r w:rsidRPr="008E7317">
        <w:rPr>
          <w:b/>
        </w:rPr>
        <w:t>: Relative Availability by NAICS Code</w:t>
      </w:r>
      <w:bookmarkEnd w:id="44"/>
      <w:r w:rsidRPr="008E7317">
        <w:rPr>
          <w:b/>
        </w:rPr>
        <w:t xml:space="preserve"> for FFY 2016-201</w:t>
      </w:r>
      <w:bookmarkEnd w:id="45"/>
      <w:r w:rsidRPr="008E7317">
        <w:rPr>
          <w:b/>
        </w:rPr>
        <w:t>8</w:t>
      </w:r>
      <w:bookmarkEnd w:id="46"/>
    </w:p>
    <w:p w:rsidR="00081848" w:rsidRPr="00AC6AD1" w:rsidRDefault="00081848" w:rsidP="00BB08DC">
      <w:pPr>
        <w:jc w:val="center"/>
        <w:rPr>
          <w:b/>
        </w:rPr>
      </w:pPr>
    </w:p>
    <w:p w:rsidR="00081848" w:rsidRPr="00AC6AD1" w:rsidRDefault="00081848" w:rsidP="00BB08DC">
      <w:pPr>
        <w:jc w:val="center"/>
        <w:rPr>
          <w:b/>
        </w:rPr>
      </w:pPr>
      <w:r w:rsidRPr="00936B08">
        <w:rPr>
          <w:b/>
        </w:rPr>
        <w:object w:dxaOrig="6735"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166.5pt" o:ole="">
            <v:imagedata r:id="rId12" o:title=""/>
          </v:shape>
          <o:OLEObject Type="Embed" ProgID="Excel.OpenDocumentSpreadsheet.12" ShapeID="_x0000_i1025" DrawAspect="Content" ObjectID="_1498891443" r:id="rId13"/>
        </w:object>
      </w:r>
    </w:p>
    <w:p w:rsidR="00081848" w:rsidRPr="00AE29C1" w:rsidRDefault="00081848" w:rsidP="002444F4">
      <w:pPr>
        <w:pStyle w:val="Heading2"/>
        <w:numPr>
          <w:ilvl w:val="0"/>
          <w:numId w:val="0"/>
        </w:numPr>
        <w:rPr>
          <w:i w:val="0"/>
          <w:szCs w:val="20"/>
        </w:rPr>
      </w:pPr>
      <w:bookmarkStart w:id="47" w:name="RANGE!C26:D46"/>
      <w:bookmarkStart w:id="48" w:name="_Toc349839861"/>
      <w:bookmarkStart w:id="49" w:name="_Toc303351506"/>
      <w:bookmarkStart w:id="50" w:name="_Toc345085687"/>
      <w:bookmarkEnd w:id="47"/>
    </w:p>
    <w:p w:rsidR="00081848" w:rsidRPr="00AE29C1" w:rsidRDefault="00081848" w:rsidP="00BB08DC">
      <w:pPr>
        <w:pStyle w:val="Heading2"/>
        <w:numPr>
          <w:ilvl w:val="1"/>
          <w:numId w:val="2"/>
        </w:numPr>
        <w:ind w:left="0" w:firstLine="0"/>
        <w:rPr>
          <w:i w:val="0"/>
          <w:szCs w:val="20"/>
        </w:rPr>
      </w:pPr>
      <w:bookmarkStart w:id="51" w:name="_Toc420418168"/>
      <w:r w:rsidRPr="00AE29C1">
        <w:rPr>
          <w:i w:val="0"/>
          <w:szCs w:val="20"/>
        </w:rPr>
        <w:t>Weighted Base Figure</w:t>
      </w:r>
      <w:bookmarkEnd w:id="48"/>
      <w:bookmarkEnd w:id="51"/>
    </w:p>
    <w:p w:rsidR="00081848" w:rsidRPr="00AC6AD1" w:rsidRDefault="00081848" w:rsidP="00BB08DC"/>
    <w:p w:rsidR="00081848" w:rsidRPr="001279EA" w:rsidRDefault="00081848" w:rsidP="007C3937">
      <w:pPr>
        <w:pStyle w:val="BodyTextIndent2"/>
        <w:ind w:left="0"/>
        <w:rPr>
          <w:sz w:val="24"/>
        </w:rPr>
      </w:pPr>
      <w:bookmarkStart w:id="52" w:name="_Toc345702865"/>
      <w:bookmarkStart w:id="53" w:name="_Toc349839710"/>
      <w:r w:rsidRPr="00AC6AD1">
        <w:rPr>
          <w:sz w:val="24"/>
        </w:rPr>
        <w:t xml:space="preserve">Weighting is recommended in </w:t>
      </w:r>
      <w:r w:rsidRPr="00AC6AD1">
        <w:rPr>
          <w:i/>
          <w:sz w:val="24"/>
        </w:rPr>
        <w:t>USDOT</w:t>
      </w:r>
      <w:r w:rsidRPr="00AC6AD1">
        <w:rPr>
          <w:sz w:val="24"/>
        </w:rPr>
        <w:t xml:space="preserve"> </w:t>
      </w:r>
      <w:r w:rsidRPr="00AC6AD1">
        <w:rPr>
          <w:i/>
          <w:sz w:val="24"/>
        </w:rPr>
        <w:t>Tips</w:t>
      </w:r>
      <w:r w:rsidRPr="00AC6AD1">
        <w:rPr>
          <w:sz w:val="24"/>
        </w:rPr>
        <w:t xml:space="preserve"> to determine the overall goal. The first step is to calculate a weight for each NAICS code, which is the percentage of the estimated </w:t>
      </w:r>
      <w:r w:rsidRPr="00AC6AD1">
        <w:rPr>
          <w:sz w:val="24"/>
        </w:rPr>
        <w:lastRenderedPageBreak/>
        <w:t>budget for FFY 201</w:t>
      </w:r>
      <w:r>
        <w:rPr>
          <w:sz w:val="24"/>
        </w:rPr>
        <w:t>6</w:t>
      </w:r>
      <w:r w:rsidRPr="00AC6AD1">
        <w:rPr>
          <w:sz w:val="24"/>
        </w:rPr>
        <w:t>-201</w:t>
      </w:r>
      <w:r>
        <w:rPr>
          <w:sz w:val="24"/>
        </w:rPr>
        <w:t>8</w:t>
      </w:r>
      <w:r w:rsidRPr="00AC6AD1">
        <w:rPr>
          <w:sz w:val="24"/>
        </w:rPr>
        <w:t xml:space="preserve"> anticipated contracts.</w:t>
      </w:r>
      <w:r>
        <w:rPr>
          <w:sz w:val="24"/>
        </w:rPr>
        <w:t xml:space="preserve"> </w:t>
      </w:r>
      <w:r w:rsidRPr="00AC6AD1">
        <w:rPr>
          <w:sz w:val="24"/>
        </w:rPr>
        <w:t>The second step is to divide the number of DBEs by the total number of businesses in each NAICS code and multiply the result by the corresponding weight in order to calculate the weighted percentage of DBE availability.</w:t>
      </w:r>
      <w:r>
        <w:rPr>
          <w:sz w:val="24"/>
        </w:rPr>
        <w:t xml:space="preserve"> </w:t>
      </w:r>
      <w:r w:rsidRPr="00AC6AD1">
        <w:rPr>
          <w:sz w:val="24"/>
        </w:rPr>
        <w:t>Lastly</w:t>
      </w:r>
      <w:r w:rsidRPr="001279EA">
        <w:rPr>
          <w:sz w:val="24"/>
        </w:rPr>
        <w:t xml:space="preserve">, the weighted percentages in each NAICS code are combined to determine the weighted base figure. Table 1.06 presents the calculation of weighted availability. The weighted DBE availability is 18.42%. </w:t>
      </w:r>
    </w:p>
    <w:p w:rsidR="00081848" w:rsidRPr="001279EA" w:rsidRDefault="00081848" w:rsidP="00072ABB"/>
    <w:p w:rsidR="00081848" w:rsidRPr="00072ABB" w:rsidRDefault="00081848" w:rsidP="00072ABB">
      <w:pPr>
        <w:jc w:val="center"/>
        <w:rPr>
          <w:b/>
        </w:rPr>
      </w:pPr>
      <w:bookmarkStart w:id="54" w:name="_Toc420607867"/>
      <w:r w:rsidRPr="00072ABB">
        <w:rPr>
          <w:b/>
        </w:rPr>
        <w:t>Table 1.0</w:t>
      </w:r>
      <w:fldSimple w:instr=" SEQ Table \* MERGEFORMAT ">
        <w:r w:rsidR="003F72B8" w:rsidRPr="003F72B8">
          <w:rPr>
            <w:b/>
            <w:noProof/>
          </w:rPr>
          <w:t>6</w:t>
        </w:r>
      </w:fldSimple>
      <w:r w:rsidRPr="00072ABB">
        <w:rPr>
          <w:b/>
        </w:rPr>
        <w:t>: Weighted Base Figure</w:t>
      </w:r>
      <w:bookmarkEnd w:id="52"/>
      <w:bookmarkEnd w:id="53"/>
      <w:bookmarkEnd w:id="54"/>
    </w:p>
    <w:p w:rsidR="00081848" w:rsidRPr="00072ABB" w:rsidRDefault="00081848" w:rsidP="00072ABB"/>
    <w:bookmarkEnd w:id="49"/>
    <w:bookmarkEnd w:id="50"/>
    <w:p w:rsidR="00081848" w:rsidRDefault="00081848" w:rsidP="00072ABB">
      <w:pPr>
        <w:rPr>
          <w:i/>
        </w:rPr>
      </w:pPr>
      <w:r w:rsidRPr="00936B08">
        <w:rPr>
          <w:b/>
          <w:bCs/>
        </w:rPr>
        <w:object w:dxaOrig="8790" w:dyaOrig="3165">
          <v:shape id="_x0000_i1026" type="#_x0000_t75" style="width:440.25pt;height:158.25pt" o:ole="">
            <v:imagedata r:id="rId14" o:title=""/>
          </v:shape>
          <o:OLEObject Type="Embed" ProgID="Excel.OpenDocumentSpreadsheet.12" ShapeID="_x0000_i1026" DrawAspect="Content" ObjectID="_1498891444" r:id="rId15"/>
        </w:object>
      </w:r>
    </w:p>
    <w:p w:rsidR="00081848" w:rsidRPr="004B72C0" w:rsidRDefault="00081848" w:rsidP="00BE5384">
      <w:pPr>
        <w:pStyle w:val="MTAHeading1"/>
        <w:numPr>
          <w:ilvl w:val="0"/>
          <w:numId w:val="2"/>
        </w:numPr>
        <w:spacing w:line="276" w:lineRule="auto"/>
        <w:jc w:val="left"/>
        <w:outlineLvl w:val="1"/>
        <w:rPr>
          <w:i w:val="0"/>
        </w:rPr>
      </w:pPr>
      <w:bookmarkStart w:id="55" w:name="_Toc420418169"/>
      <w:r w:rsidRPr="004B72C0">
        <w:rPr>
          <w:i w:val="0"/>
        </w:rPr>
        <w:t>STEP TWO BASE FIGURE ADJUSTMENT</w:t>
      </w:r>
      <w:bookmarkEnd w:id="27"/>
      <w:bookmarkEnd w:id="55"/>
    </w:p>
    <w:p w:rsidR="00081848" w:rsidRDefault="00081848" w:rsidP="00BE5384">
      <w:pPr>
        <w:spacing w:line="276" w:lineRule="auto"/>
      </w:pPr>
    </w:p>
    <w:p w:rsidR="00081848" w:rsidRPr="00AE29C1" w:rsidRDefault="00081848" w:rsidP="00BB08DC">
      <w:pPr>
        <w:pStyle w:val="Heading2"/>
        <w:numPr>
          <w:ilvl w:val="1"/>
          <w:numId w:val="6"/>
        </w:numPr>
        <w:tabs>
          <w:tab w:val="clear" w:pos="936"/>
          <w:tab w:val="left" w:pos="-270"/>
          <w:tab w:val="num" w:pos="720"/>
        </w:tabs>
        <w:ind w:left="720" w:hanging="720"/>
        <w:rPr>
          <w:i w:val="0"/>
          <w:szCs w:val="20"/>
        </w:rPr>
      </w:pPr>
      <w:bookmarkStart w:id="56" w:name="_Toc345085689"/>
      <w:bookmarkStart w:id="57" w:name="_Toc349839863"/>
      <w:bookmarkStart w:id="58" w:name="_Toc420418170"/>
      <w:r w:rsidRPr="00AE29C1">
        <w:rPr>
          <w:i w:val="0"/>
          <w:szCs w:val="20"/>
        </w:rPr>
        <w:t>Considerations for Adjustments to the Base Figure</w:t>
      </w:r>
      <w:bookmarkEnd w:id="56"/>
      <w:bookmarkEnd w:id="57"/>
      <w:bookmarkEnd w:id="58"/>
    </w:p>
    <w:p w:rsidR="00081848" w:rsidRPr="00AC6AD1" w:rsidRDefault="00081848" w:rsidP="00BB08DC">
      <w:pPr>
        <w:tabs>
          <w:tab w:val="left" w:pos="-270"/>
        </w:tabs>
        <w:rPr>
          <w:i/>
        </w:rPr>
      </w:pPr>
    </w:p>
    <w:p w:rsidR="00081848" w:rsidRPr="00AC6AD1" w:rsidRDefault="00081848" w:rsidP="007C3937">
      <w:pPr>
        <w:tabs>
          <w:tab w:val="left" w:pos="-270"/>
        </w:tabs>
      </w:pPr>
      <w:r w:rsidRPr="00AC6AD1">
        <w:t xml:space="preserve">The Step Two base figure adjustment, as recommended in </w:t>
      </w:r>
      <w:r w:rsidRPr="00AC6AD1">
        <w:rPr>
          <w:i/>
        </w:rPr>
        <w:t>USDOT</w:t>
      </w:r>
      <w:r w:rsidRPr="00AC6AD1">
        <w:t xml:space="preserve"> </w:t>
      </w:r>
      <w:r w:rsidRPr="00AC6AD1">
        <w:rPr>
          <w:i/>
        </w:rPr>
        <w:t>Tips,</w:t>
      </w:r>
      <w:r w:rsidRPr="00AC6AD1">
        <w:t xml:space="preserve"> requires examining relevant and reliable data in the recipient’s market area to determine if an adjustment to the base figure is warranted. The consideration of an adjustment is intended to account for any impact the relevant factors may have on DBEs’ contracting opportunities with Metro.</w:t>
      </w:r>
      <w:r>
        <w:t xml:space="preserve"> </w:t>
      </w:r>
      <w:r w:rsidRPr="00AC6AD1">
        <w:t xml:space="preserve">The following factors were considered for the Step Two adjustment: </w:t>
      </w:r>
    </w:p>
    <w:p w:rsidR="00081848" w:rsidRPr="00AC6AD1" w:rsidRDefault="00081848" w:rsidP="007C3937">
      <w:pPr>
        <w:tabs>
          <w:tab w:val="left" w:pos="-270"/>
        </w:tabs>
      </w:pPr>
    </w:p>
    <w:p w:rsidR="00081848" w:rsidRPr="006561D1" w:rsidRDefault="00081848" w:rsidP="007C3937">
      <w:pPr>
        <w:pStyle w:val="Heading6"/>
      </w:pPr>
      <w:r>
        <w:t>Past</w:t>
      </w:r>
      <w:r w:rsidRPr="006561D1">
        <w:t xml:space="preserve"> DBE participation</w:t>
      </w:r>
    </w:p>
    <w:p w:rsidR="00081848" w:rsidRPr="006561D1" w:rsidRDefault="00081848" w:rsidP="007C3937">
      <w:pPr>
        <w:pStyle w:val="Heading6"/>
      </w:pPr>
      <w:r>
        <w:t>Documented</w:t>
      </w:r>
      <w:r w:rsidRPr="006561D1">
        <w:t xml:space="preserve"> private-sector discrimination</w:t>
      </w:r>
    </w:p>
    <w:p w:rsidR="00081848" w:rsidRPr="006561D1" w:rsidRDefault="00081848" w:rsidP="007C3937">
      <w:pPr>
        <w:pStyle w:val="Heading6"/>
      </w:pPr>
      <w:r>
        <w:t>Anecdotal</w:t>
      </w:r>
      <w:r w:rsidRPr="006561D1">
        <w:t xml:space="preserve"> evidence from </w:t>
      </w:r>
      <w:r>
        <w:t xml:space="preserve">the </w:t>
      </w:r>
      <w:r w:rsidRPr="006561D1">
        <w:t xml:space="preserve">Metro 2012 DBE Program Disparity Study </w:t>
      </w:r>
    </w:p>
    <w:p w:rsidR="00081848" w:rsidRPr="00AC6AD1" w:rsidRDefault="00081848" w:rsidP="007C3937">
      <w:pPr>
        <w:pStyle w:val="5Paragraph"/>
        <w:tabs>
          <w:tab w:val="left" w:pos="720"/>
          <w:tab w:val="left" w:pos="810"/>
          <w:tab w:val="left" w:pos="1440"/>
        </w:tabs>
        <w:ind w:left="720"/>
        <w:jc w:val="both"/>
        <w:rPr>
          <w:b w:val="0"/>
        </w:rPr>
      </w:pPr>
    </w:p>
    <w:p w:rsidR="00081848" w:rsidRPr="00AC6AD1" w:rsidRDefault="00081848" w:rsidP="007C3937">
      <w:pPr>
        <w:pStyle w:val="Heading3"/>
        <w:tabs>
          <w:tab w:val="clear" w:pos="1721"/>
        </w:tabs>
        <w:ind w:left="540" w:hanging="450"/>
      </w:pPr>
      <w:r w:rsidRPr="00AC6AD1">
        <w:t xml:space="preserve">Past DBE </w:t>
      </w:r>
      <w:r>
        <w:t>P</w:t>
      </w:r>
      <w:r w:rsidRPr="00AC6AD1">
        <w:t>articipation</w:t>
      </w:r>
    </w:p>
    <w:p w:rsidR="00081848" w:rsidRPr="00AC6AD1" w:rsidRDefault="00081848" w:rsidP="007C3937">
      <w:pPr>
        <w:pStyle w:val="5Paragraph"/>
        <w:keepNext/>
        <w:tabs>
          <w:tab w:val="left" w:pos="-270"/>
          <w:tab w:val="left" w:pos="720"/>
        </w:tabs>
        <w:ind w:left="0"/>
        <w:jc w:val="both"/>
        <w:rPr>
          <w:b w:val="0"/>
          <w:bCs w:val="0"/>
        </w:rPr>
      </w:pPr>
    </w:p>
    <w:p w:rsidR="00081848" w:rsidRDefault="00081848" w:rsidP="00FC2A3F">
      <w:r w:rsidRPr="009B54A6">
        <w:t>DBE participation</w:t>
      </w:r>
      <w:r>
        <w:t xml:space="preserve"> </w:t>
      </w:r>
      <w:r w:rsidRPr="009B54A6">
        <w:t>during FFY 2013-2015 was documented in Metro’s FFY13 2</w:t>
      </w:r>
      <w:r w:rsidRPr="009B54A6">
        <w:rPr>
          <w:vertAlign w:val="superscript"/>
        </w:rPr>
        <w:t>nd</w:t>
      </w:r>
      <w:r w:rsidRPr="009B54A6">
        <w:t xml:space="preserve"> Semi-Annual Report, FFY14 1</w:t>
      </w:r>
      <w:r w:rsidRPr="009B54A6">
        <w:rPr>
          <w:vertAlign w:val="superscript"/>
        </w:rPr>
        <w:t>st</w:t>
      </w:r>
      <w:r w:rsidRPr="009B54A6">
        <w:t xml:space="preserve"> and 2</w:t>
      </w:r>
      <w:r w:rsidRPr="009B54A6">
        <w:rPr>
          <w:vertAlign w:val="superscript"/>
        </w:rPr>
        <w:t>nd</w:t>
      </w:r>
      <w:r w:rsidRPr="009B54A6">
        <w:t xml:space="preserve"> Semi-Annual Report</w:t>
      </w:r>
      <w:r>
        <w:t>s, and FFY15 1</w:t>
      </w:r>
      <w:r w:rsidRPr="002F7BA3">
        <w:rPr>
          <w:vertAlign w:val="superscript"/>
        </w:rPr>
        <w:t>st</w:t>
      </w:r>
      <w:r>
        <w:t xml:space="preserve"> Semi-Annual Report</w:t>
      </w:r>
      <w:r w:rsidRPr="009B54A6">
        <w:t xml:space="preserve">. Table 1.07 details the </w:t>
      </w:r>
      <w:r>
        <w:t xml:space="preserve">median prime and subcontractor race- and gender-neutral and race- and gender-conscious </w:t>
      </w:r>
      <w:r w:rsidRPr="009B54A6">
        <w:t xml:space="preserve">DBE </w:t>
      </w:r>
      <w:r>
        <w:t xml:space="preserve">participation </w:t>
      </w:r>
      <w:r w:rsidRPr="009B54A6">
        <w:t xml:space="preserve">during FFY 2013-2015. The median figure is the center point among an ordered list of figures. Metro achieved </w:t>
      </w:r>
      <w:r>
        <w:t xml:space="preserve">2.23% median </w:t>
      </w:r>
      <w:r>
        <w:lastRenderedPageBreak/>
        <w:t>prime and subcontractor race- and gender-neutral and race- and gender-conscious DBE utilization;</w:t>
      </w:r>
      <w:r w:rsidRPr="009B54A6">
        <w:t xml:space="preserve"> the highest</w:t>
      </w:r>
      <w:r>
        <w:t xml:space="preserve"> overall</w:t>
      </w:r>
      <w:r w:rsidRPr="009B54A6">
        <w:t xml:space="preserve"> </w:t>
      </w:r>
      <w:r>
        <w:t>DBE</w:t>
      </w:r>
      <w:r w:rsidRPr="009B54A6">
        <w:t xml:space="preserve"> utilization of </w:t>
      </w:r>
      <w:r>
        <w:t>22.41</w:t>
      </w:r>
      <w:r w:rsidRPr="009B54A6">
        <w:t xml:space="preserve">% was achieved in </w:t>
      </w:r>
      <w:r>
        <w:t xml:space="preserve">FFY </w:t>
      </w:r>
      <w:r w:rsidRPr="009B54A6">
        <w:t>2014.</w:t>
      </w:r>
      <w:bookmarkStart w:id="59" w:name="_Toc349839711"/>
      <w:bookmarkStart w:id="60" w:name="_Toc420607868"/>
    </w:p>
    <w:p w:rsidR="00081848" w:rsidRDefault="00081848" w:rsidP="00FC2A3F"/>
    <w:p w:rsidR="00081848" w:rsidRPr="00AC6AD1" w:rsidRDefault="00081848" w:rsidP="00FC2A3F">
      <w:pPr>
        <w:rPr>
          <w:b/>
        </w:rPr>
      </w:pPr>
      <w:r>
        <w:rPr>
          <w:b/>
        </w:rPr>
        <w:t>Table 1</w:t>
      </w:r>
      <w:r w:rsidRPr="00E30DDE">
        <w:rPr>
          <w:b/>
        </w:rPr>
        <w:t>.0</w:t>
      </w:r>
      <w:fldSimple w:instr=" SEQ Table \* MERGEFORMAT ">
        <w:r w:rsidR="003F72B8" w:rsidRPr="003F72B8">
          <w:rPr>
            <w:b/>
            <w:noProof/>
          </w:rPr>
          <w:t>7</w:t>
        </w:r>
      </w:fldSimple>
      <w:r>
        <w:rPr>
          <w:b/>
        </w:rPr>
        <w:t xml:space="preserve">: FFY 2013-2015 Median </w:t>
      </w:r>
      <w:proofErr w:type="gramStart"/>
      <w:r>
        <w:rPr>
          <w:b/>
        </w:rPr>
        <w:t>Past</w:t>
      </w:r>
      <w:proofErr w:type="gramEnd"/>
      <w:r>
        <w:rPr>
          <w:b/>
        </w:rPr>
        <w:t xml:space="preserve"> </w:t>
      </w:r>
      <w:r w:rsidRPr="00E30DDE">
        <w:rPr>
          <w:b/>
        </w:rPr>
        <w:t xml:space="preserve">DBE </w:t>
      </w:r>
      <w:bookmarkEnd w:id="59"/>
      <w:bookmarkEnd w:id="60"/>
      <w:r>
        <w:rPr>
          <w:b/>
        </w:rPr>
        <w:t>Participation</w:t>
      </w:r>
    </w:p>
    <w:p w:rsidR="00081848" w:rsidRDefault="00081848" w:rsidP="007C3937">
      <w:pPr>
        <w:jc w:val="center"/>
      </w:pPr>
    </w:p>
    <w:tbl>
      <w:tblPr>
        <w:tblW w:w="4860" w:type="dxa"/>
        <w:jc w:val="center"/>
        <w:tblLayout w:type="fixed"/>
        <w:tblLook w:val="00A0" w:firstRow="1" w:lastRow="0" w:firstColumn="1" w:lastColumn="0" w:noHBand="0" w:noVBand="0"/>
      </w:tblPr>
      <w:tblGrid>
        <w:gridCol w:w="1620"/>
        <w:gridCol w:w="1620"/>
        <w:gridCol w:w="1620"/>
      </w:tblGrid>
      <w:tr w:rsidR="00081848" w:rsidRPr="00B707FF" w:rsidTr="00B36282">
        <w:trPr>
          <w:trHeight w:val="300"/>
          <w:jc w:val="center"/>
        </w:trPr>
        <w:tc>
          <w:tcPr>
            <w:tcW w:w="1620" w:type="dxa"/>
            <w:tcBorders>
              <w:top w:val="nil"/>
              <w:left w:val="nil"/>
              <w:bottom w:val="nil"/>
              <w:right w:val="nil"/>
            </w:tcBorders>
            <w:shd w:val="clear" w:color="000000" w:fill="000000"/>
            <w:noWrap/>
            <w:vAlign w:val="bottom"/>
          </w:tcPr>
          <w:p w:rsidR="00081848" w:rsidRPr="00B707FF" w:rsidRDefault="00081848" w:rsidP="00B36282">
            <w:pPr>
              <w:jc w:val="center"/>
              <w:rPr>
                <w:rFonts w:ascii="Arial" w:hAnsi="Arial" w:cs="Arial"/>
                <w:b/>
                <w:bCs/>
                <w:color w:val="FFFFFF"/>
                <w:sz w:val="20"/>
                <w:szCs w:val="20"/>
              </w:rPr>
            </w:pPr>
            <w:r w:rsidRPr="00B707FF">
              <w:rPr>
                <w:rFonts w:ascii="Arial" w:hAnsi="Arial" w:cs="Arial"/>
                <w:b/>
                <w:bCs/>
                <w:color w:val="FFFFFF"/>
                <w:sz w:val="20"/>
                <w:szCs w:val="20"/>
              </w:rPr>
              <w:t>FFY13</w:t>
            </w:r>
          </w:p>
        </w:tc>
        <w:tc>
          <w:tcPr>
            <w:tcW w:w="1620" w:type="dxa"/>
            <w:tcBorders>
              <w:top w:val="nil"/>
              <w:left w:val="nil"/>
              <w:bottom w:val="nil"/>
              <w:right w:val="nil"/>
            </w:tcBorders>
            <w:shd w:val="clear" w:color="000000" w:fill="000000"/>
            <w:noWrap/>
            <w:vAlign w:val="bottom"/>
          </w:tcPr>
          <w:p w:rsidR="00081848" w:rsidRPr="00B707FF" w:rsidRDefault="00081848" w:rsidP="00B36282">
            <w:pPr>
              <w:jc w:val="center"/>
              <w:rPr>
                <w:rFonts w:ascii="Arial" w:hAnsi="Arial" w:cs="Arial"/>
                <w:b/>
                <w:bCs/>
                <w:color w:val="FFFFFF"/>
                <w:sz w:val="20"/>
                <w:szCs w:val="20"/>
              </w:rPr>
            </w:pPr>
            <w:r w:rsidRPr="00B707FF">
              <w:rPr>
                <w:rFonts w:ascii="Arial" w:hAnsi="Arial" w:cs="Arial"/>
                <w:b/>
                <w:bCs/>
                <w:color w:val="FFFFFF"/>
                <w:sz w:val="20"/>
                <w:szCs w:val="20"/>
              </w:rPr>
              <w:t>FFY14</w:t>
            </w:r>
          </w:p>
        </w:tc>
        <w:tc>
          <w:tcPr>
            <w:tcW w:w="1620" w:type="dxa"/>
            <w:tcBorders>
              <w:top w:val="nil"/>
              <w:left w:val="nil"/>
              <w:bottom w:val="nil"/>
              <w:right w:val="nil"/>
            </w:tcBorders>
            <w:shd w:val="clear" w:color="000000" w:fill="000000"/>
            <w:noWrap/>
            <w:vAlign w:val="bottom"/>
          </w:tcPr>
          <w:p w:rsidR="00081848" w:rsidRPr="00B707FF" w:rsidRDefault="00081848" w:rsidP="00B36282">
            <w:pPr>
              <w:jc w:val="center"/>
              <w:rPr>
                <w:rFonts w:ascii="Arial" w:hAnsi="Arial" w:cs="Arial"/>
                <w:b/>
                <w:bCs/>
                <w:color w:val="FFFFFF"/>
                <w:sz w:val="20"/>
                <w:szCs w:val="20"/>
              </w:rPr>
            </w:pPr>
            <w:r w:rsidRPr="00B707FF">
              <w:rPr>
                <w:rFonts w:ascii="Arial" w:hAnsi="Arial" w:cs="Arial"/>
                <w:b/>
                <w:bCs/>
                <w:color w:val="FFFFFF"/>
                <w:sz w:val="20"/>
                <w:szCs w:val="20"/>
              </w:rPr>
              <w:t>FFY15</w:t>
            </w:r>
          </w:p>
        </w:tc>
      </w:tr>
      <w:tr w:rsidR="00081848" w:rsidRPr="00B707FF" w:rsidTr="00B36282">
        <w:trPr>
          <w:trHeight w:val="300"/>
          <w:jc w:val="center"/>
        </w:trPr>
        <w:tc>
          <w:tcPr>
            <w:tcW w:w="1620" w:type="dxa"/>
            <w:tcBorders>
              <w:top w:val="single" w:sz="4" w:space="0" w:color="auto"/>
              <w:left w:val="single" w:sz="4" w:space="0" w:color="auto"/>
              <w:bottom w:val="single" w:sz="4" w:space="0" w:color="auto"/>
              <w:right w:val="single" w:sz="4" w:space="0" w:color="auto"/>
            </w:tcBorders>
            <w:noWrap/>
            <w:vAlign w:val="center"/>
          </w:tcPr>
          <w:p w:rsidR="00081848" w:rsidRPr="00B707FF" w:rsidRDefault="00081848" w:rsidP="00B36282">
            <w:pPr>
              <w:jc w:val="center"/>
              <w:rPr>
                <w:rFonts w:ascii="Arial" w:hAnsi="Arial" w:cs="Arial"/>
                <w:color w:val="000000"/>
                <w:sz w:val="20"/>
                <w:szCs w:val="20"/>
              </w:rPr>
            </w:pPr>
            <w:r w:rsidRPr="00B707FF">
              <w:rPr>
                <w:rFonts w:ascii="Arial" w:hAnsi="Arial" w:cs="Arial"/>
                <w:color w:val="000000"/>
                <w:sz w:val="20"/>
                <w:szCs w:val="20"/>
              </w:rPr>
              <w:t>0.51%</w:t>
            </w:r>
          </w:p>
        </w:tc>
        <w:tc>
          <w:tcPr>
            <w:tcW w:w="1620" w:type="dxa"/>
            <w:tcBorders>
              <w:top w:val="single" w:sz="4" w:space="0" w:color="auto"/>
              <w:left w:val="nil"/>
              <w:bottom w:val="single" w:sz="4" w:space="0" w:color="auto"/>
              <w:right w:val="single" w:sz="4" w:space="0" w:color="auto"/>
            </w:tcBorders>
            <w:noWrap/>
            <w:vAlign w:val="center"/>
          </w:tcPr>
          <w:p w:rsidR="00081848" w:rsidRPr="00B707FF" w:rsidRDefault="00081848" w:rsidP="00B36282">
            <w:pPr>
              <w:jc w:val="center"/>
              <w:rPr>
                <w:rFonts w:ascii="Arial" w:hAnsi="Arial" w:cs="Arial"/>
                <w:color w:val="000000"/>
                <w:sz w:val="20"/>
                <w:szCs w:val="20"/>
              </w:rPr>
            </w:pPr>
            <w:r w:rsidRPr="00B707FF">
              <w:rPr>
                <w:rFonts w:ascii="Arial" w:hAnsi="Arial" w:cs="Arial"/>
                <w:color w:val="000000"/>
                <w:sz w:val="20"/>
                <w:szCs w:val="20"/>
              </w:rPr>
              <w:t>22.41%</w:t>
            </w:r>
          </w:p>
        </w:tc>
        <w:tc>
          <w:tcPr>
            <w:tcW w:w="1620" w:type="dxa"/>
            <w:tcBorders>
              <w:top w:val="single" w:sz="4" w:space="0" w:color="auto"/>
              <w:left w:val="nil"/>
              <w:bottom w:val="single" w:sz="4" w:space="0" w:color="auto"/>
              <w:right w:val="single" w:sz="4" w:space="0" w:color="auto"/>
            </w:tcBorders>
            <w:noWrap/>
            <w:vAlign w:val="center"/>
          </w:tcPr>
          <w:p w:rsidR="00081848" w:rsidRPr="00B707FF" w:rsidRDefault="00081848" w:rsidP="00B36282">
            <w:pPr>
              <w:jc w:val="center"/>
              <w:rPr>
                <w:rFonts w:ascii="Arial" w:hAnsi="Arial" w:cs="Arial"/>
                <w:color w:val="000000"/>
                <w:sz w:val="20"/>
                <w:szCs w:val="20"/>
              </w:rPr>
            </w:pPr>
            <w:r w:rsidRPr="00B707FF">
              <w:rPr>
                <w:rFonts w:ascii="Arial" w:hAnsi="Arial" w:cs="Arial"/>
                <w:color w:val="000000"/>
                <w:sz w:val="20"/>
                <w:szCs w:val="20"/>
              </w:rPr>
              <w:t>2.23%</w:t>
            </w:r>
          </w:p>
        </w:tc>
      </w:tr>
      <w:tr w:rsidR="00081848" w:rsidRPr="00B707FF" w:rsidTr="00B36282">
        <w:trPr>
          <w:trHeight w:val="300"/>
          <w:jc w:val="center"/>
        </w:trPr>
        <w:tc>
          <w:tcPr>
            <w:tcW w:w="4860" w:type="dxa"/>
            <w:gridSpan w:val="3"/>
            <w:tcBorders>
              <w:top w:val="single" w:sz="4" w:space="0" w:color="auto"/>
              <w:left w:val="single" w:sz="4" w:space="0" w:color="auto"/>
              <w:bottom w:val="single" w:sz="4" w:space="0" w:color="auto"/>
              <w:right w:val="single" w:sz="4" w:space="0" w:color="auto"/>
            </w:tcBorders>
            <w:noWrap/>
            <w:vAlign w:val="center"/>
          </w:tcPr>
          <w:p w:rsidR="00081848" w:rsidRPr="00B707FF" w:rsidRDefault="00081848" w:rsidP="00B36282">
            <w:pPr>
              <w:jc w:val="center"/>
              <w:rPr>
                <w:rFonts w:ascii="Arial" w:hAnsi="Arial" w:cs="Arial"/>
                <w:b/>
                <w:color w:val="000000"/>
                <w:sz w:val="20"/>
                <w:szCs w:val="20"/>
              </w:rPr>
            </w:pPr>
            <w:r w:rsidRPr="00B707FF">
              <w:rPr>
                <w:rFonts w:ascii="Arial" w:hAnsi="Arial" w:cs="Arial"/>
                <w:b/>
                <w:color w:val="000000"/>
                <w:sz w:val="20"/>
                <w:szCs w:val="20"/>
              </w:rPr>
              <w:t>Median DBE Participation 2.23%</w:t>
            </w:r>
          </w:p>
        </w:tc>
      </w:tr>
    </w:tbl>
    <w:p w:rsidR="00081848" w:rsidRDefault="00081848" w:rsidP="00BB08DC"/>
    <w:p w:rsidR="00081848" w:rsidRDefault="00081848" w:rsidP="007C3937">
      <w:r>
        <w:t>Table 1.08 details DBE utilization as a percent of all dollars during FFY 2013-2015.</w:t>
      </w:r>
    </w:p>
    <w:p w:rsidR="00081848" w:rsidRDefault="00081848" w:rsidP="007C3937"/>
    <w:p w:rsidR="00081848" w:rsidRPr="00AC6AD1" w:rsidRDefault="00081848" w:rsidP="007C3937">
      <w:pPr>
        <w:jc w:val="center"/>
        <w:rPr>
          <w:b/>
        </w:rPr>
      </w:pPr>
      <w:r>
        <w:rPr>
          <w:b/>
        </w:rPr>
        <w:t>Table 1</w:t>
      </w:r>
      <w:r w:rsidRPr="00E30DDE">
        <w:rPr>
          <w:b/>
        </w:rPr>
        <w:t>.0</w:t>
      </w:r>
      <w:fldSimple w:instr=" SEQ Table \* MERGEFORMAT ">
        <w:r w:rsidR="003F72B8" w:rsidRPr="003F72B8">
          <w:rPr>
            <w:b/>
            <w:noProof/>
          </w:rPr>
          <w:t>8</w:t>
        </w:r>
      </w:fldSimple>
      <w:r>
        <w:rPr>
          <w:b/>
        </w:rPr>
        <w:t xml:space="preserve">: FFY 2013-2015 </w:t>
      </w:r>
      <w:r w:rsidRPr="00E30DDE">
        <w:rPr>
          <w:b/>
        </w:rPr>
        <w:t>DBE Utilization</w:t>
      </w:r>
      <w:r>
        <w:rPr>
          <w:b/>
        </w:rPr>
        <w:t xml:space="preserve"> </w:t>
      </w:r>
    </w:p>
    <w:p w:rsidR="00081848" w:rsidRDefault="00081848" w:rsidP="007C3937"/>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2016"/>
        <w:gridCol w:w="2016"/>
        <w:gridCol w:w="2016"/>
        <w:gridCol w:w="1172"/>
      </w:tblGrid>
      <w:tr w:rsidR="00081848" w:rsidRPr="00B707FF" w:rsidTr="00B36282">
        <w:trPr>
          <w:trHeight w:val="300"/>
        </w:trPr>
        <w:tc>
          <w:tcPr>
            <w:tcW w:w="1380" w:type="dxa"/>
            <w:shd w:val="clear" w:color="auto" w:fill="000000"/>
            <w:noWrap/>
            <w:vAlign w:val="center"/>
          </w:tcPr>
          <w:p w:rsidR="00081848" w:rsidRPr="00B707FF" w:rsidRDefault="00081848" w:rsidP="00B36282">
            <w:pPr>
              <w:jc w:val="center"/>
              <w:rPr>
                <w:rFonts w:ascii="Arial" w:hAnsi="Arial" w:cs="Arial"/>
                <w:b/>
                <w:bCs/>
                <w:color w:val="FFFFFF"/>
                <w:sz w:val="20"/>
                <w:szCs w:val="20"/>
              </w:rPr>
            </w:pPr>
            <w:r w:rsidRPr="00B707FF">
              <w:rPr>
                <w:rFonts w:ascii="Arial" w:hAnsi="Arial" w:cs="Arial"/>
                <w:b/>
                <w:bCs/>
                <w:color w:val="FFFFFF"/>
                <w:sz w:val="20"/>
                <w:szCs w:val="20"/>
              </w:rPr>
              <w:t>FFY</w:t>
            </w:r>
          </w:p>
        </w:tc>
        <w:tc>
          <w:tcPr>
            <w:tcW w:w="2016" w:type="dxa"/>
            <w:shd w:val="clear" w:color="auto" w:fill="000000"/>
            <w:noWrap/>
            <w:vAlign w:val="center"/>
          </w:tcPr>
          <w:p w:rsidR="00081848" w:rsidRPr="00B707FF" w:rsidRDefault="00081848" w:rsidP="00B36282">
            <w:pPr>
              <w:jc w:val="center"/>
              <w:rPr>
                <w:rFonts w:ascii="Arial" w:hAnsi="Arial" w:cs="Arial"/>
                <w:b/>
                <w:bCs/>
                <w:color w:val="FFFFFF"/>
                <w:sz w:val="20"/>
                <w:szCs w:val="20"/>
              </w:rPr>
            </w:pPr>
            <w:r w:rsidRPr="00B707FF">
              <w:rPr>
                <w:rFonts w:ascii="Arial" w:hAnsi="Arial" w:cs="Arial"/>
                <w:b/>
                <w:bCs/>
                <w:color w:val="FFFFFF"/>
                <w:sz w:val="20"/>
                <w:szCs w:val="20"/>
              </w:rPr>
              <w:t>Total Dollars</w:t>
            </w:r>
          </w:p>
        </w:tc>
        <w:tc>
          <w:tcPr>
            <w:tcW w:w="2016" w:type="dxa"/>
            <w:shd w:val="clear" w:color="auto" w:fill="000000"/>
            <w:noWrap/>
            <w:vAlign w:val="center"/>
          </w:tcPr>
          <w:p w:rsidR="00081848" w:rsidRPr="00B707FF" w:rsidRDefault="00081848" w:rsidP="00B36282">
            <w:pPr>
              <w:jc w:val="center"/>
              <w:rPr>
                <w:rFonts w:ascii="Arial" w:hAnsi="Arial" w:cs="Arial"/>
                <w:b/>
                <w:bCs/>
                <w:color w:val="FFFFFF"/>
                <w:sz w:val="20"/>
                <w:szCs w:val="20"/>
              </w:rPr>
            </w:pPr>
            <w:r w:rsidRPr="00B707FF">
              <w:rPr>
                <w:rFonts w:ascii="Arial" w:hAnsi="Arial" w:cs="Arial"/>
                <w:b/>
                <w:bCs/>
                <w:color w:val="FFFFFF"/>
                <w:sz w:val="20"/>
                <w:szCs w:val="20"/>
              </w:rPr>
              <w:t>Total Race- Conscious Dollars</w:t>
            </w:r>
          </w:p>
        </w:tc>
        <w:tc>
          <w:tcPr>
            <w:tcW w:w="2016" w:type="dxa"/>
            <w:shd w:val="clear" w:color="auto" w:fill="000000"/>
            <w:noWrap/>
            <w:vAlign w:val="center"/>
          </w:tcPr>
          <w:p w:rsidR="00081848" w:rsidRPr="00B707FF" w:rsidRDefault="00081848" w:rsidP="00B36282">
            <w:pPr>
              <w:jc w:val="center"/>
              <w:rPr>
                <w:rFonts w:ascii="Arial" w:hAnsi="Arial" w:cs="Arial"/>
                <w:b/>
                <w:bCs/>
                <w:color w:val="FFFFFF"/>
                <w:sz w:val="20"/>
                <w:szCs w:val="20"/>
              </w:rPr>
            </w:pPr>
            <w:r w:rsidRPr="00B707FF">
              <w:rPr>
                <w:rFonts w:ascii="Arial" w:hAnsi="Arial" w:cs="Arial"/>
                <w:b/>
                <w:bCs/>
                <w:color w:val="FFFFFF"/>
                <w:sz w:val="20"/>
                <w:szCs w:val="20"/>
              </w:rPr>
              <w:t>Total Race-</w:t>
            </w:r>
          </w:p>
          <w:p w:rsidR="00081848" w:rsidRPr="00B707FF" w:rsidRDefault="00081848" w:rsidP="00B36282">
            <w:pPr>
              <w:jc w:val="center"/>
              <w:rPr>
                <w:rFonts w:ascii="Arial" w:hAnsi="Arial" w:cs="Arial"/>
                <w:b/>
                <w:bCs/>
                <w:color w:val="FFFFFF"/>
                <w:sz w:val="20"/>
                <w:szCs w:val="20"/>
              </w:rPr>
            </w:pPr>
            <w:r w:rsidRPr="00B707FF">
              <w:rPr>
                <w:rFonts w:ascii="Arial" w:hAnsi="Arial" w:cs="Arial"/>
                <w:b/>
                <w:bCs/>
                <w:color w:val="FFFFFF"/>
                <w:sz w:val="20"/>
                <w:szCs w:val="20"/>
              </w:rPr>
              <w:t>Neutral Dollars</w:t>
            </w:r>
          </w:p>
        </w:tc>
        <w:tc>
          <w:tcPr>
            <w:tcW w:w="1152" w:type="dxa"/>
            <w:shd w:val="clear" w:color="auto" w:fill="000000"/>
            <w:noWrap/>
            <w:vAlign w:val="center"/>
          </w:tcPr>
          <w:p w:rsidR="00081848" w:rsidRPr="00B707FF" w:rsidRDefault="00081848" w:rsidP="00B36282">
            <w:pPr>
              <w:jc w:val="center"/>
              <w:rPr>
                <w:rFonts w:ascii="Arial" w:hAnsi="Arial" w:cs="Arial"/>
                <w:b/>
                <w:bCs/>
                <w:color w:val="FFFFFF"/>
                <w:sz w:val="20"/>
                <w:szCs w:val="20"/>
              </w:rPr>
            </w:pPr>
            <w:r w:rsidRPr="00B707FF">
              <w:rPr>
                <w:rFonts w:ascii="Arial" w:hAnsi="Arial" w:cs="Arial"/>
                <w:b/>
                <w:bCs/>
                <w:color w:val="FFFFFF"/>
                <w:sz w:val="20"/>
                <w:szCs w:val="20"/>
              </w:rPr>
              <w:t>DBE Utilization</w:t>
            </w:r>
          </w:p>
        </w:tc>
      </w:tr>
      <w:tr w:rsidR="00081848" w:rsidRPr="00B707FF" w:rsidTr="00B36282">
        <w:trPr>
          <w:trHeight w:val="300"/>
        </w:trPr>
        <w:tc>
          <w:tcPr>
            <w:tcW w:w="1380" w:type="dxa"/>
            <w:noWrap/>
            <w:vAlign w:val="bottom"/>
          </w:tcPr>
          <w:p w:rsidR="00081848" w:rsidRPr="00B707FF" w:rsidRDefault="00081848" w:rsidP="00B36282">
            <w:pPr>
              <w:jc w:val="left"/>
              <w:rPr>
                <w:rFonts w:ascii="Arial" w:hAnsi="Arial" w:cs="Arial"/>
                <w:color w:val="000000"/>
                <w:sz w:val="20"/>
                <w:szCs w:val="20"/>
              </w:rPr>
            </w:pPr>
            <w:r w:rsidRPr="00B707FF">
              <w:rPr>
                <w:rFonts w:ascii="Arial" w:hAnsi="Arial" w:cs="Arial"/>
                <w:color w:val="000000"/>
                <w:sz w:val="20"/>
                <w:szCs w:val="20"/>
              </w:rPr>
              <w:t>2013</w:t>
            </w:r>
          </w:p>
        </w:tc>
        <w:tc>
          <w:tcPr>
            <w:tcW w:w="2016" w:type="dxa"/>
            <w:noWrap/>
            <w:vAlign w:val="bottom"/>
          </w:tcPr>
          <w:p w:rsidR="00081848" w:rsidRPr="00B707FF" w:rsidRDefault="00081848" w:rsidP="00B36282">
            <w:pPr>
              <w:jc w:val="left"/>
              <w:rPr>
                <w:rFonts w:ascii="Arial" w:hAnsi="Arial" w:cs="Arial"/>
                <w:color w:val="000000"/>
                <w:sz w:val="20"/>
                <w:szCs w:val="20"/>
              </w:rPr>
            </w:pPr>
            <w:r w:rsidRPr="00B707FF">
              <w:rPr>
                <w:rFonts w:ascii="Arial" w:hAnsi="Arial" w:cs="Arial"/>
                <w:color w:val="000000"/>
                <w:sz w:val="20"/>
                <w:szCs w:val="20"/>
              </w:rPr>
              <w:t xml:space="preserve"> $     28,541,837.00 </w:t>
            </w:r>
          </w:p>
        </w:tc>
        <w:tc>
          <w:tcPr>
            <w:tcW w:w="2016" w:type="dxa"/>
            <w:noWrap/>
            <w:vAlign w:val="bottom"/>
          </w:tcPr>
          <w:p w:rsidR="00081848" w:rsidRPr="00B707FF" w:rsidRDefault="00081848" w:rsidP="00B36282">
            <w:pPr>
              <w:jc w:val="left"/>
              <w:rPr>
                <w:rFonts w:ascii="Arial" w:hAnsi="Arial" w:cs="Arial"/>
                <w:color w:val="000000"/>
                <w:sz w:val="20"/>
                <w:szCs w:val="20"/>
              </w:rPr>
            </w:pPr>
            <w:r w:rsidRPr="00B707FF">
              <w:rPr>
                <w:rFonts w:ascii="Arial" w:hAnsi="Arial" w:cs="Arial"/>
                <w:color w:val="000000"/>
                <w:sz w:val="20"/>
                <w:szCs w:val="20"/>
              </w:rPr>
              <w:t xml:space="preserve"> $       -   </w:t>
            </w:r>
          </w:p>
        </w:tc>
        <w:tc>
          <w:tcPr>
            <w:tcW w:w="2016" w:type="dxa"/>
            <w:noWrap/>
            <w:vAlign w:val="bottom"/>
          </w:tcPr>
          <w:p w:rsidR="00081848" w:rsidRPr="00B707FF" w:rsidRDefault="00081848" w:rsidP="00B36282">
            <w:pPr>
              <w:jc w:val="left"/>
              <w:rPr>
                <w:rFonts w:ascii="Arial" w:hAnsi="Arial" w:cs="Arial"/>
                <w:color w:val="000000"/>
                <w:sz w:val="20"/>
                <w:szCs w:val="20"/>
              </w:rPr>
            </w:pPr>
            <w:r w:rsidRPr="00B707FF">
              <w:rPr>
                <w:rFonts w:ascii="Arial" w:hAnsi="Arial" w:cs="Arial"/>
                <w:color w:val="000000"/>
                <w:sz w:val="20"/>
                <w:szCs w:val="20"/>
              </w:rPr>
              <w:t xml:space="preserve"> $    2,332,669.00 </w:t>
            </w:r>
          </w:p>
        </w:tc>
        <w:tc>
          <w:tcPr>
            <w:tcW w:w="1152" w:type="dxa"/>
            <w:noWrap/>
            <w:vAlign w:val="bottom"/>
          </w:tcPr>
          <w:p w:rsidR="00081848" w:rsidRPr="00B707FF" w:rsidRDefault="00081848" w:rsidP="00B36282">
            <w:pPr>
              <w:jc w:val="right"/>
              <w:rPr>
                <w:rFonts w:ascii="Arial" w:hAnsi="Arial" w:cs="Arial"/>
                <w:color w:val="000000"/>
                <w:sz w:val="20"/>
                <w:szCs w:val="20"/>
              </w:rPr>
            </w:pPr>
            <w:r w:rsidRPr="00B707FF">
              <w:rPr>
                <w:rFonts w:ascii="Arial" w:hAnsi="Arial" w:cs="Arial"/>
                <w:color w:val="000000"/>
                <w:sz w:val="20"/>
                <w:szCs w:val="20"/>
              </w:rPr>
              <w:t>0.51%</w:t>
            </w:r>
          </w:p>
        </w:tc>
      </w:tr>
      <w:tr w:rsidR="00081848" w:rsidRPr="00B707FF" w:rsidTr="00B36282">
        <w:trPr>
          <w:trHeight w:val="300"/>
        </w:trPr>
        <w:tc>
          <w:tcPr>
            <w:tcW w:w="1380" w:type="dxa"/>
            <w:noWrap/>
            <w:vAlign w:val="bottom"/>
          </w:tcPr>
          <w:p w:rsidR="00081848" w:rsidRPr="00B707FF" w:rsidRDefault="00081848" w:rsidP="00B36282">
            <w:pPr>
              <w:jc w:val="left"/>
              <w:rPr>
                <w:rFonts w:ascii="Arial" w:hAnsi="Arial" w:cs="Arial"/>
                <w:color w:val="000000"/>
                <w:sz w:val="20"/>
                <w:szCs w:val="20"/>
              </w:rPr>
            </w:pPr>
            <w:r w:rsidRPr="00B707FF">
              <w:rPr>
                <w:rFonts w:ascii="Arial" w:hAnsi="Arial" w:cs="Arial"/>
                <w:color w:val="000000"/>
                <w:sz w:val="20"/>
                <w:szCs w:val="20"/>
              </w:rPr>
              <w:t>2014</w:t>
            </w:r>
          </w:p>
        </w:tc>
        <w:tc>
          <w:tcPr>
            <w:tcW w:w="2016" w:type="dxa"/>
            <w:noWrap/>
            <w:vAlign w:val="bottom"/>
          </w:tcPr>
          <w:p w:rsidR="00081848" w:rsidRPr="00B707FF" w:rsidRDefault="00081848" w:rsidP="00B36282">
            <w:pPr>
              <w:jc w:val="left"/>
              <w:rPr>
                <w:rFonts w:ascii="Arial" w:hAnsi="Arial" w:cs="Arial"/>
                <w:color w:val="000000"/>
                <w:sz w:val="20"/>
                <w:szCs w:val="20"/>
              </w:rPr>
            </w:pPr>
            <w:r w:rsidRPr="00B707FF">
              <w:rPr>
                <w:rFonts w:ascii="Arial" w:hAnsi="Arial" w:cs="Arial"/>
                <w:color w:val="000000"/>
                <w:sz w:val="20"/>
                <w:szCs w:val="20"/>
              </w:rPr>
              <w:t xml:space="preserve"> $   349,839,369.00 </w:t>
            </w:r>
          </w:p>
        </w:tc>
        <w:tc>
          <w:tcPr>
            <w:tcW w:w="2016" w:type="dxa"/>
            <w:noWrap/>
            <w:vAlign w:val="bottom"/>
          </w:tcPr>
          <w:p w:rsidR="00081848" w:rsidRPr="00B707FF" w:rsidRDefault="00081848" w:rsidP="00B36282">
            <w:pPr>
              <w:jc w:val="left"/>
              <w:rPr>
                <w:rFonts w:ascii="Arial" w:hAnsi="Arial" w:cs="Arial"/>
                <w:color w:val="000000"/>
                <w:sz w:val="20"/>
                <w:szCs w:val="20"/>
              </w:rPr>
            </w:pPr>
            <w:r w:rsidRPr="00B707FF">
              <w:rPr>
                <w:rFonts w:ascii="Arial" w:hAnsi="Arial" w:cs="Arial"/>
                <w:color w:val="000000"/>
                <w:sz w:val="20"/>
                <w:szCs w:val="20"/>
              </w:rPr>
              <w:t xml:space="preserve"> $     96,830,502.00 </w:t>
            </w:r>
          </w:p>
        </w:tc>
        <w:tc>
          <w:tcPr>
            <w:tcW w:w="2016" w:type="dxa"/>
            <w:noWrap/>
            <w:vAlign w:val="bottom"/>
          </w:tcPr>
          <w:p w:rsidR="00081848" w:rsidRPr="00B707FF" w:rsidRDefault="00081848" w:rsidP="00B36282">
            <w:pPr>
              <w:jc w:val="left"/>
              <w:rPr>
                <w:rFonts w:ascii="Arial" w:hAnsi="Arial" w:cs="Arial"/>
                <w:color w:val="000000"/>
                <w:sz w:val="20"/>
                <w:szCs w:val="20"/>
              </w:rPr>
            </w:pPr>
            <w:r w:rsidRPr="00B707FF">
              <w:rPr>
                <w:rFonts w:ascii="Arial" w:hAnsi="Arial" w:cs="Arial"/>
                <w:color w:val="000000"/>
                <w:sz w:val="20"/>
                <w:szCs w:val="20"/>
              </w:rPr>
              <w:t xml:space="preserve"> $    6,019,377.00 </w:t>
            </w:r>
          </w:p>
        </w:tc>
        <w:tc>
          <w:tcPr>
            <w:tcW w:w="1152" w:type="dxa"/>
            <w:noWrap/>
            <w:vAlign w:val="bottom"/>
          </w:tcPr>
          <w:p w:rsidR="00081848" w:rsidRPr="00B707FF" w:rsidRDefault="00081848" w:rsidP="00B36282">
            <w:pPr>
              <w:jc w:val="right"/>
              <w:rPr>
                <w:rFonts w:ascii="Arial" w:hAnsi="Arial" w:cs="Arial"/>
                <w:color w:val="000000"/>
                <w:sz w:val="20"/>
                <w:szCs w:val="20"/>
              </w:rPr>
            </w:pPr>
            <w:r w:rsidRPr="00B707FF">
              <w:rPr>
                <w:rFonts w:ascii="Arial" w:hAnsi="Arial" w:cs="Arial"/>
                <w:color w:val="000000"/>
                <w:sz w:val="20"/>
                <w:szCs w:val="20"/>
              </w:rPr>
              <w:t>22.41%</w:t>
            </w:r>
          </w:p>
        </w:tc>
      </w:tr>
      <w:tr w:rsidR="00081848" w:rsidRPr="00B707FF" w:rsidTr="00B36282">
        <w:trPr>
          <w:trHeight w:val="300"/>
        </w:trPr>
        <w:tc>
          <w:tcPr>
            <w:tcW w:w="1380" w:type="dxa"/>
            <w:noWrap/>
            <w:vAlign w:val="bottom"/>
          </w:tcPr>
          <w:p w:rsidR="00081848" w:rsidRPr="00B707FF" w:rsidRDefault="00081848" w:rsidP="00B36282">
            <w:pPr>
              <w:jc w:val="left"/>
              <w:rPr>
                <w:rFonts w:ascii="Arial" w:hAnsi="Arial" w:cs="Arial"/>
                <w:color w:val="000000"/>
                <w:sz w:val="20"/>
                <w:szCs w:val="20"/>
              </w:rPr>
            </w:pPr>
            <w:r w:rsidRPr="00B707FF">
              <w:rPr>
                <w:rFonts w:ascii="Arial" w:hAnsi="Arial" w:cs="Arial"/>
                <w:color w:val="000000"/>
                <w:sz w:val="20"/>
                <w:szCs w:val="20"/>
              </w:rPr>
              <w:t>2015</w:t>
            </w:r>
          </w:p>
        </w:tc>
        <w:tc>
          <w:tcPr>
            <w:tcW w:w="2016" w:type="dxa"/>
            <w:noWrap/>
            <w:vAlign w:val="bottom"/>
          </w:tcPr>
          <w:p w:rsidR="00081848" w:rsidRPr="00B707FF" w:rsidRDefault="00081848" w:rsidP="00B36282">
            <w:pPr>
              <w:jc w:val="left"/>
              <w:rPr>
                <w:rFonts w:ascii="Arial" w:hAnsi="Arial" w:cs="Arial"/>
                <w:color w:val="000000"/>
                <w:sz w:val="20"/>
                <w:szCs w:val="20"/>
              </w:rPr>
            </w:pPr>
            <w:r w:rsidRPr="00B707FF">
              <w:rPr>
                <w:rFonts w:ascii="Arial" w:hAnsi="Arial" w:cs="Arial"/>
                <w:color w:val="000000"/>
                <w:sz w:val="20"/>
                <w:szCs w:val="20"/>
              </w:rPr>
              <w:t xml:space="preserve"> $     80,569,469.00 </w:t>
            </w:r>
          </w:p>
        </w:tc>
        <w:tc>
          <w:tcPr>
            <w:tcW w:w="2016" w:type="dxa"/>
            <w:noWrap/>
            <w:vAlign w:val="bottom"/>
          </w:tcPr>
          <w:p w:rsidR="00081848" w:rsidRPr="00B707FF" w:rsidRDefault="00081848" w:rsidP="00B36282">
            <w:pPr>
              <w:jc w:val="left"/>
              <w:rPr>
                <w:rFonts w:ascii="Arial" w:hAnsi="Arial" w:cs="Arial"/>
                <w:color w:val="000000"/>
                <w:sz w:val="20"/>
                <w:szCs w:val="20"/>
              </w:rPr>
            </w:pPr>
            <w:r w:rsidRPr="00B707FF">
              <w:rPr>
                <w:rFonts w:ascii="Arial" w:hAnsi="Arial" w:cs="Arial"/>
                <w:color w:val="000000"/>
                <w:sz w:val="20"/>
                <w:szCs w:val="20"/>
              </w:rPr>
              <w:t xml:space="preserve"> $       7,168,806.00 </w:t>
            </w:r>
          </w:p>
        </w:tc>
        <w:tc>
          <w:tcPr>
            <w:tcW w:w="2016" w:type="dxa"/>
            <w:noWrap/>
            <w:vAlign w:val="bottom"/>
          </w:tcPr>
          <w:p w:rsidR="00081848" w:rsidRPr="00B707FF" w:rsidRDefault="00081848" w:rsidP="00B36282">
            <w:pPr>
              <w:jc w:val="left"/>
              <w:rPr>
                <w:rFonts w:ascii="Arial" w:hAnsi="Arial" w:cs="Arial"/>
                <w:color w:val="000000"/>
                <w:sz w:val="20"/>
                <w:szCs w:val="20"/>
              </w:rPr>
            </w:pPr>
            <w:r w:rsidRPr="00B707FF">
              <w:rPr>
                <w:rFonts w:ascii="Arial" w:hAnsi="Arial" w:cs="Arial"/>
                <w:color w:val="000000"/>
                <w:sz w:val="20"/>
                <w:szCs w:val="20"/>
              </w:rPr>
              <w:t xml:space="preserve"> $    3,045,735.00 </w:t>
            </w:r>
          </w:p>
        </w:tc>
        <w:tc>
          <w:tcPr>
            <w:tcW w:w="1152" w:type="dxa"/>
            <w:noWrap/>
            <w:vAlign w:val="bottom"/>
          </w:tcPr>
          <w:p w:rsidR="00081848" w:rsidRPr="00B707FF" w:rsidRDefault="00081848" w:rsidP="00B36282">
            <w:pPr>
              <w:jc w:val="right"/>
              <w:rPr>
                <w:rFonts w:ascii="Arial" w:hAnsi="Arial" w:cs="Arial"/>
                <w:color w:val="000000"/>
                <w:sz w:val="20"/>
                <w:szCs w:val="20"/>
              </w:rPr>
            </w:pPr>
            <w:r w:rsidRPr="00B707FF">
              <w:rPr>
                <w:rFonts w:ascii="Arial" w:hAnsi="Arial" w:cs="Arial"/>
                <w:color w:val="000000"/>
                <w:sz w:val="20"/>
                <w:szCs w:val="20"/>
              </w:rPr>
              <w:t>2.23%</w:t>
            </w:r>
          </w:p>
        </w:tc>
      </w:tr>
      <w:tr w:rsidR="00081848" w:rsidRPr="00B707FF" w:rsidTr="00B36282">
        <w:trPr>
          <w:trHeight w:val="300"/>
        </w:trPr>
        <w:tc>
          <w:tcPr>
            <w:tcW w:w="1380" w:type="dxa"/>
            <w:noWrap/>
            <w:vAlign w:val="bottom"/>
          </w:tcPr>
          <w:p w:rsidR="00081848" w:rsidRPr="00B707FF" w:rsidRDefault="00081848" w:rsidP="00B36282">
            <w:pPr>
              <w:jc w:val="left"/>
              <w:rPr>
                <w:rFonts w:ascii="Arial" w:hAnsi="Arial" w:cs="Arial"/>
                <w:b/>
                <w:bCs/>
                <w:color w:val="000000"/>
                <w:sz w:val="20"/>
                <w:szCs w:val="20"/>
              </w:rPr>
            </w:pPr>
            <w:r w:rsidRPr="00B707FF">
              <w:rPr>
                <w:rFonts w:ascii="Arial" w:hAnsi="Arial" w:cs="Arial"/>
                <w:b/>
                <w:bCs/>
                <w:color w:val="000000"/>
                <w:sz w:val="20"/>
                <w:szCs w:val="20"/>
              </w:rPr>
              <w:t>Total</w:t>
            </w:r>
          </w:p>
        </w:tc>
        <w:tc>
          <w:tcPr>
            <w:tcW w:w="2016" w:type="dxa"/>
            <w:noWrap/>
            <w:vAlign w:val="bottom"/>
          </w:tcPr>
          <w:p w:rsidR="00081848" w:rsidRPr="00B707FF" w:rsidRDefault="00081848" w:rsidP="00B36282">
            <w:pPr>
              <w:jc w:val="left"/>
              <w:rPr>
                <w:rFonts w:ascii="Arial" w:hAnsi="Arial" w:cs="Arial"/>
                <w:b/>
                <w:bCs/>
                <w:color w:val="000000"/>
                <w:sz w:val="20"/>
                <w:szCs w:val="20"/>
              </w:rPr>
            </w:pPr>
            <w:r w:rsidRPr="00B707FF">
              <w:rPr>
                <w:rFonts w:ascii="Arial" w:hAnsi="Arial" w:cs="Arial"/>
                <w:b/>
                <w:bCs/>
                <w:color w:val="000000"/>
                <w:sz w:val="20"/>
                <w:szCs w:val="20"/>
              </w:rPr>
              <w:t xml:space="preserve"> $   458,950,675.00 </w:t>
            </w:r>
          </w:p>
        </w:tc>
        <w:tc>
          <w:tcPr>
            <w:tcW w:w="2016" w:type="dxa"/>
            <w:noWrap/>
            <w:vAlign w:val="bottom"/>
          </w:tcPr>
          <w:p w:rsidR="00081848" w:rsidRPr="00B707FF" w:rsidRDefault="00081848" w:rsidP="00B36282">
            <w:pPr>
              <w:jc w:val="left"/>
              <w:rPr>
                <w:rFonts w:ascii="Arial" w:hAnsi="Arial" w:cs="Arial"/>
                <w:b/>
                <w:bCs/>
                <w:color w:val="000000"/>
                <w:sz w:val="20"/>
                <w:szCs w:val="20"/>
              </w:rPr>
            </w:pPr>
            <w:r w:rsidRPr="00B707FF">
              <w:rPr>
                <w:rFonts w:ascii="Arial" w:hAnsi="Arial" w:cs="Arial"/>
                <w:b/>
                <w:bCs/>
                <w:color w:val="000000"/>
                <w:sz w:val="20"/>
                <w:szCs w:val="20"/>
              </w:rPr>
              <w:t xml:space="preserve"> $   103,999,308.00 </w:t>
            </w:r>
          </w:p>
        </w:tc>
        <w:tc>
          <w:tcPr>
            <w:tcW w:w="2016" w:type="dxa"/>
            <w:noWrap/>
            <w:vAlign w:val="bottom"/>
          </w:tcPr>
          <w:p w:rsidR="00081848" w:rsidRPr="00B707FF" w:rsidRDefault="00081848" w:rsidP="00B36282">
            <w:pPr>
              <w:jc w:val="left"/>
              <w:rPr>
                <w:rFonts w:ascii="Arial" w:hAnsi="Arial" w:cs="Arial"/>
                <w:b/>
                <w:bCs/>
                <w:color w:val="000000"/>
                <w:sz w:val="20"/>
                <w:szCs w:val="20"/>
              </w:rPr>
            </w:pPr>
            <w:r w:rsidRPr="00B707FF">
              <w:rPr>
                <w:rFonts w:ascii="Arial" w:hAnsi="Arial" w:cs="Arial"/>
                <w:b/>
                <w:bCs/>
                <w:color w:val="000000"/>
                <w:sz w:val="20"/>
                <w:szCs w:val="20"/>
              </w:rPr>
              <w:t xml:space="preserve"> $   11,397,781.00 </w:t>
            </w:r>
          </w:p>
        </w:tc>
        <w:tc>
          <w:tcPr>
            <w:tcW w:w="1152" w:type="dxa"/>
            <w:noWrap/>
            <w:vAlign w:val="bottom"/>
          </w:tcPr>
          <w:p w:rsidR="00081848" w:rsidRPr="00B707FF" w:rsidRDefault="00081848" w:rsidP="00B36282">
            <w:pPr>
              <w:jc w:val="left"/>
              <w:rPr>
                <w:rFonts w:ascii="Arial" w:hAnsi="Arial" w:cs="Arial"/>
                <w:b/>
                <w:bCs/>
                <w:color w:val="000000"/>
                <w:sz w:val="20"/>
                <w:szCs w:val="20"/>
              </w:rPr>
            </w:pPr>
          </w:p>
        </w:tc>
      </w:tr>
    </w:tbl>
    <w:p w:rsidR="00081848" w:rsidRPr="00AC6AD1" w:rsidRDefault="00081848" w:rsidP="00BB08DC"/>
    <w:p w:rsidR="00081848" w:rsidRPr="00AC6AD1" w:rsidRDefault="00081848" w:rsidP="00BB08DC">
      <w:pPr>
        <w:pStyle w:val="Heading3"/>
        <w:tabs>
          <w:tab w:val="clear" w:pos="1721"/>
          <w:tab w:val="num" w:pos="540"/>
        </w:tabs>
        <w:ind w:hanging="1631"/>
      </w:pPr>
      <w:r w:rsidRPr="00AC6AD1">
        <w:t xml:space="preserve">Documented </w:t>
      </w:r>
      <w:r>
        <w:t>P</w:t>
      </w:r>
      <w:r w:rsidRPr="00AC6AD1">
        <w:t>rivate</w:t>
      </w:r>
      <w:r>
        <w:t xml:space="preserve"> S</w:t>
      </w:r>
      <w:r w:rsidRPr="00AC6AD1">
        <w:t xml:space="preserve">ector </w:t>
      </w:r>
      <w:r>
        <w:t>D</w:t>
      </w:r>
      <w:r w:rsidRPr="00AC6AD1">
        <w:t>iscrimination</w:t>
      </w:r>
    </w:p>
    <w:p w:rsidR="00081848" w:rsidRPr="00AC6AD1" w:rsidRDefault="00081848" w:rsidP="00BB08DC">
      <w:pPr>
        <w:pStyle w:val="5Paragraph"/>
        <w:keepNext/>
        <w:tabs>
          <w:tab w:val="left" w:pos="-270"/>
          <w:tab w:val="left" w:pos="720"/>
        </w:tabs>
        <w:ind w:left="0"/>
        <w:jc w:val="both"/>
        <w:rPr>
          <w:b w:val="0"/>
          <w:bCs w:val="0"/>
        </w:rPr>
      </w:pPr>
    </w:p>
    <w:p w:rsidR="00081848" w:rsidRPr="00AC6AD1" w:rsidRDefault="00081848" w:rsidP="00BB08DC">
      <w:pPr>
        <w:tabs>
          <w:tab w:val="left" w:pos="-1440"/>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B4D69">
        <w:t>Private sector business practices, which are not subject to government requirements, are indicators of marketplace conditions which could affect the formation and growth of DBEs.</w:t>
      </w:r>
      <w:r>
        <w:t xml:space="preserve"> </w:t>
      </w:r>
      <w:r w:rsidRPr="001B4D69">
        <w:rPr>
          <w:i/>
        </w:rPr>
        <w:t xml:space="preserve">Concrete Works of Colorado v. City of Denver </w:t>
      </w:r>
      <w:r w:rsidRPr="001B4D69">
        <w:rPr>
          <w:rStyle w:val="FootnoteReference"/>
        </w:rPr>
        <w:footnoteReference w:id="8"/>
      </w:r>
      <w:r w:rsidRPr="001B4D69">
        <w:t xml:space="preserve"> (</w:t>
      </w:r>
      <w:r w:rsidRPr="001B4D69">
        <w:rPr>
          <w:i/>
        </w:rPr>
        <w:t>Concrete Works II</w:t>
      </w:r>
      <w:r w:rsidRPr="001B4D69">
        <w:t>) set forth a framework for considering evidence of discrimination in private sector business practices.</w:t>
      </w:r>
      <w:r>
        <w:t xml:space="preserve"> </w:t>
      </w:r>
      <w:r w:rsidRPr="001B4D69">
        <w:t xml:space="preserve">In accordance with </w:t>
      </w:r>
      <w:r w:rsidRPr="001B4D69">
        <w:rPr>
          <w:i/>
        </w:rPr>
        <w:t>Concrete Works II</w:t>
      </w:r>
      <w:r w:rsidRPr="001B4D69">
        <w:t xml:space="preserve">, three regression models were used to examine three outcome variables—business ownership rates, business earnings, and business loan approval. Each regression model compared minority males and females and Caucasian </w:t>
      </w:r>
      <w:r>
        <w:t>f</w:t>
      </w:r>
      <w:r w:rsidRPr="001B4D69">
        <w:t xml:space="preserve">emales to similarly situated </w:t>
      </w:r>
      <w:r>
        <w:t>non-minority males</w:t>
      </w:r>
      <w:r w:rsidRPr="001B4D69">
        <w:t xml:space="preserve"> by controlling for race</w:t>
      </w:r>
      <w:r>
        <w:t>-</w:t>
      </w:r>
      <w:r w:rsidRPr="001B4D69">
        <w:t xml:space="preserve"> and gender-neutral explanatory variables such as age, education, marital status, and access to capital. This adjustment factor was considered, however, no adjustment was made due to the various exemplary practices and support services Metro has implemented in order to decrease the barriers that DBEs confront when attempting to do business. </w:t>
      </w:r>
    </w:p>
    <w:p w:rsidR="00081848" w:rsidRPr="00AC6AD1" w:rsidRDefault="00081848" w:rsidP="00BB08DC">
      <w:pPr>
        <w:tabs>
          <w:tab w:val="left" w:pos="-270"/>
        </w:tabs>
        <w:jc w:val="center"/>
        <w:rPr>
          <w:b/>
        </w:rPr>
      </w:pPr>
    </w:p>
    <w:p w:rsidR="00081848" w:rsidRPr="00905E62" w:rsidRDefault="00081848" w:rsidP="00BB08DC">
      <w:pPr>
        <w:pStyle w:val="Heading3"/>
        <w:tabs>
          <w:tab w:val="clear" w:pos="1721"/>
        </w:tabs>
        <w:ind w:left="540" w:hanging="450"/>
      </w:pPr>
      <w:r w:rsidRPr="00AC6AD1">
        <w:t xml:space="preserve">Anecdotal </w:t>
      </w:r>
      <w:r>
        <w:t>E</w:t>
      </w:r>
      <w:r w:rsidRPr="00AC6AD1">
        <w:t xml:space="preserve">vidence from </w:t>
      </w:r>
      <w:r w:rsidRPr="00905E62">
        <w:t xml:space="preserve">Metro’s 2012 DBE Program Disparity Study </w:t>
      </w:r>
    </w:p>
    <w:p w:rsidR="00081848" w:rsidRPr="00AC6AD1" w:rsidRDefault="00081848" w:rsidP="00BB08DC">
      <w:pPr>
        <w:pStyle w:val="Heading3"/>
        <w:numPr>
          <w:ilvl w:val="0"/>
          <w:numId w:val="0"/>
        </w:numPr>
        <w:rPr>
          <w:b w:val="0"/>
          <w:bCs w:val="0"/>
        </w:rPr>
      </w:pPr>
    </w:p>
    <w:p w:rsidR="00081848" w:rsidRPr="004D4319" w:rsidRDefault="00081848" w:rsidP="00BB08DC">
      <w:pPr>
        <w:shd w:val="clear" w:color="auto" w:fill="FFFFFF"/>
      </w:pPr>
      <w:r>
        <w:rPr>
          <w:color w:val="000000"/>
        </w:rPr>
        <w:t>In t</w:t>
      </w:r>
      <w:r w:rsidRPr="004D4319">
        <w:rPr>
          <w:color w:val="000000"/>
        </w:rPr>
        <w:t xml:space="preserve">he anecdotal accounts from interviews conducted for </w:t>
      </w:r>
      <w:r w:rsidRPr="004D4319">
        <w:t xml:space="preserve">Metro’s </w:t>
      </w:r>
      <w:r w:rsidRPr="00905E62">
        <w:t>2012 DBE Program</w:t>
      </w:r>
      <w:r>
        <w:t xml:space="preserve">, </w:t>
      </w:r>
      <w:r w:rsidRPr="004D4319">
        <w:rPr>
          <w:color w:val="000000"/>
        </w:rPr>
        <w:t>Metro’s Small Business Office was credited for providing valuable technical assistance services to DBEs.</w:t>
      </w:r>
      <w:r>
        <w:rPr>
          <w:color w:val="000000"/>
        </w:rPr>
        <w:t xml:space="preserve"> </w:t>
      </w:r>
      <w:r w:rsidRPr="004D4319">
        <w:rPr>
          <w:color w:val="000000"/>
        </w:rPr>
        <w:t xml:space="preserve">Many DBEs reported that Metro’s </w:t>
      </w:r>
      <w:r w:rsidRPr="004D4319">
        <w:rPr>
          <w:rStyle w:val="yiv717624009mark"/>
          <w:color w:val="000000"/>
        </w:rPr>
        <w:t>DBE</w:t>
      </w:r>
      <w:r w:rsidRPr="004D4319">
        <w:rPr>
          <w:color w:val="000000"/>
        </w:rPr>
        <w:t xml:space="preserve"> program was instrumental in building capacity for their businesses as well as </w:t>
      </w:r>
      <w:r>
        <w:rPr>
          <w:color w:val="000000"/>
        </w:rPr>
        <w:t xml:space="preserve">aiding them in </w:t>
      </w:r>
      <w:r w:rsidRPr="004D4319">
        <w:rPr>
          <w:color w:val="000000"/>
        </w:rPr>
        <w:t>securing work from other public agencies.</w:t>
      </w:r>
      <w:r>
        <w:rPr>
          <w:color w:val="000000"/>
        </w:rPr>
        <w:t xml:space="preserve"> </w:t>
      </w:r>
      <w:r w:rsidRPr="004D4319">
        <w:t>This adjustment factor was considered, however no adjustment was made because the anecdotal accounts were not quantifiable.</w:t>
      </w:r>
    </w:p>
    <w:p w:rsidR="00081848" w:rsidRPr="00AE29C1" w:rsidRDefault="00081848" w:rsidP="00BB08DC">
      <w:pPr>
        <w:pStyle w:val="Heading2"/>
        <w:numPr>
          <w:ilvl w:val="1"/>
          <w:numId w:val="6"/>
        </w:numPr>
        <w:tabs>
          <w:tab w:val="clear" w:pos="936"/>
          <w:tab w:val="left" w:pos="-270"/>
          <w:tab w:val="num" w:pos="720"/>
        </w:tabs>
        <w:ind w:left="720" w:hanging="720"/>
        <w:rPr>
          <w:i w:val="0"/>
          <w:szCs w:val="20"/>
        </w:rPr>
      </w:pPr>
      <w:bookmarkStart w:id="61" w:name="_Toc349839864"/>
      <w:bookmarkStart w:id="62" w:name="_Toc420418171"/>
      <w:r w:rsidRPr="00AE29C1">
        <w:rPr>
          <w:i w:val="0"/>
          <w:szCs w:val="20"/>
        </w:rPr>
        <w:lastRenderedPageBreak/>
        <w:t>Adjustments to the Base Figure</w:t>
      </w:r>
      <w:bookmarkEnd w:id="61"/>
      <w:bookmarkEnd w:id="62"/>
    </w:p>
    <w:p w:rsidR="00081848" w:rsidRPr="004D4319" w:rsidRDefault="00081848" w:rsidP="00BB08DC"/>
    <w:p w:rsidR="00081848" w:rsidRPr="00AC6AD1" w:rsidRDefault="00081848" w:rsidP="00BB08DC">
      <w:r w:rsidRPr="004D4319">
        <w:t xml:space="preserve">As required by the </w:t>
      </w:r>
      <w:r w:rsidRPr="004D4319">
        <w:rPr>
          <w:i/>
        </w:rPr>
        <w:t>USDOT Tips</w:t>
      </w:r>
      <w:r w:rsidRPr="004D4319">
        <w:t>, the factors</w:t>
      </w:r>
      <w:r>
        <w:t xml:space="preserve"> noted above</w:t>
      </w:r>
      <w:r w:rsidRPr="004D4319">
        <w:t xml:space="preserve"> were considered and no adjustments were made for the Step </w:t>
      </w:r>
      <w:r>
        <w:t>Two</w:t>
      </w:r>
      <w:r w:rsidRPr="004D4319">
        <w:t xml:space="preserve"> analysis.</w:t>
      </w:r>
      <w:r w:rsidRPr="00AC6AD1">
        <w:t xml:space="preserve"> </w:t>
      </w:r>
      <w:r>
        <w:t>The weighted figure of 18.42% was rounded down to 18%.</w:t>
      </w:r>
    </w:p>
    <w:p w:rsidR="00081848" w:rsidRPr="00AC6AD1" w:rsidRDefault="00081848" w:rsidP="00BB08DC"/>
    <w:tbl>
      <w:tblPr>
        <w:tblW w:w="0" w:type="auto"/>
        <w:tblLook w:val="00A0" w:firstRow="1" w:lastRow="0" w:firstColumn="1" w:lastColumn="0" w:noHBand="0" w:noVBand="0"/>
      </w:tblPr>
      <w:tblGrid>
        <w:gridCol w:w="8856"/>
      </w:tblGrid>
      <w:tr w:rsidR="00081848" w:rsidRPr="00AC6AD1" w:rsidTr="00BB08DC">
        <w:tc>
          <w:tcPr>
            <w:tcW w:w="8856" w:type="dxa"/>
          </w:tcPr>
          <w:p w:rsidR="00081848" w:rsidRPr="001279EA" w:rsidRDefault="00081848" w:rsidP="00BB08DC">
            <w:pPr>
              <w:jc w:val="center"/>
              <w:rPr>
                <w:b/>
                <w:bCs/>
                <w:caps/>
                <w:color w:val="000000"/>
              </w:rPr>
            </w:pPr>
            <w:r w:rsidRPr="001279EA">
              <w:rPr>
                <w:b/>
                <w:bCs/>
                <w:caps/>
                <w:color w:val="000000"/>
                <w:sz w:val="22"/>
              </w:rPr>
              <w:t>Final overall dbe goal</w:t>
            </w:r>
          </w:p>
        </w:tc>
      </w:tr>
      <w:tr w:rsidR="00081848" w:rsidRPr="00AC6AD1" w:rsidTr="001279EA">
        <w:trPr>
          <w:trHeight w:val="297"/>
        </w:trPr>
        <w:tc>
          <w:tcPr>
            <w:tcW w:w="8856" w:type="dxa"/>
          </w:tcPr>
          <w:p w:rsidR="00081848" w:rsidRPr="001279EA" w:rsidRDefault="00081848" w:rsidP="00A209A5">
            <w:pPr>
              <w:jc w:val="center"/>
              <w:rPr>
                <w:bCs/>
                <w:color w:val="000000"/>
              </w:rPr>
            </w:pPr>
            <w:r w:rsidRPr="001279EA">
              <w:t>18%</w:t>
            </w:r>
          </w:p>
        </w:tc>
      </w:tr>
    </w:tbl>
    <w:p w:rsidR="00081848" w:rsidRPr="004B72C0" w:rsidRDefault="00081848" w:rsidP="00BB08DC">
      <w:pPr>
        <w:pStyle w:val="MTAHeading1"/>
        <w:numPr>
          <w:ilvl w:val="0"/>
          <w:numId w:val="2"/>
        </w:numPr>
        <w:tabs>
          <w:tab w:val="num" w:pos="2160"/>
        </w:tabs>
        <w:jc w:val="left"/>
        <w:outlineLvl w:val="1"/>
        <w:rPr>
          <w:i w:val="0"/>
          <w:szCs w:val="22"/>
        </w:rPr>
      </w:pPr>
      <w:bookmarkStart w:id="63" w:name="_Toc349839865"/>
      <w:bookmarkStart w:id="64" w:name="_Toc420418172"/>
      <w:r w:rsidRPr="004B72C0">
        <w:rPr>
          <w:i w:val="0"/>
          <w:szCs w:val="22"/>
        </w:rPr>
        <w:t>RACE- AND GENDER-NEUTRAL GOAL</w:t>
      </w:r>
      <w:bookmarkEnd w:id="63"/>
      <w:bookmarkEnd w:id="64"/>
    </w:p>
    <w:p w:rsidR="00081848" w:rsidRPr="00671F76" w:rsidRDefault="00081848" w:rsidP="00BB08DC">
      <w:pPr>
        <w:pStyle w:val="Heading2"/>
        <w:numPr>
          <w:ilvl w:val="0"/>
          <w:numId w:val="0"/>
        </w:numPr>
        <w:rPr>
          <w:i w:val="0"/>
        </w:rPr>
      </w:pPr>
      <w:bookmarkStart w:id="65" w:name="_Toc345085695"/>
    </w:p>
    <w:p w:rsidR="00081848" w:rsidRPr="00AE29C1" w:rsidRDefault="00081848" w:rsidP="00BB08DC">
      <w:pPr>
        <w:pStyle w:val="Heading2"/>
        <w:numPr>
          <w:ilvl w:val="1"/>
          <w:numId w:val="6"/>
        </w:numPr>
        <w:tabs>
          <w:tab w:val="clear" w:pos="936"/>
          <w:tab w:val="num" w:pos="720"/>
        </w:tabs>
        <w:ind w:left="720" w:hanging="720"/>
        <w:jc w:val="left"/>
        <w:rPr>
          <w:i w:val="0"/>
          <w:szCs w:val="20"/>
        </w:rPr>
      </w:pPr>
      <w:bookmarkStart w:id="66" w:name="_Toc349839866"/>
      <w:bookmarkStart w:id="67" w:name="_Toc420418173"/>
      <w:r w:rsidRPr="00AE29C1">
        <w:rPr>
          <w:i w:val="0"/>
          <w:szCs w:val="20"/>
        </w:rPr>
        <w:t>Formulation of the</w:t>
      </w:r>
      <w:bookmarkEnd w:id="65"/>
      <w:r w:rsidRPr="00AE29C1">
        <w:rPr>
          <w:i w:val="0"/>
          <w:szCs w:val="20"/>
        </w:rPr>
        <w:t xml:space="preserve"> Race- and Gender-Conscious/Neutral Portions of the Goal</w:t>
      </w:r>
      <w:bookmarkEnd w:id="66"/>
      <w:bookmarkEnd w:id="67"/>
    </w:p>
    <w:p w:rsidR="00081848" w:rsidRPr="00AC6AD1" w:rsidRDefault="00081848" w:rsidP="00BB08DC">
      <w:pPr>
        <w:pStyle w:val="2Paragraph"/>
        <w:ind w:left="0" w:firstLine="0"/>
        <w:rPr>
          <w:rFonts w:cs="Times New Roman"/>
        </w:rPr>
      </w:pPr>
    </w:p>
    <w:p w:rsidR="00081848" w:rsidRDefault="00081848" w:rsidP="00D244B4">
      <w:r w:rsidRPr="00AC6AD1">
        <w:t>The final requirement of the goal setting process, as noted in 49 CFR 26.51, is to determine the projected portion of the overall goal that will be achieved by race</w:t>
      </w:r>
      <w:r>
        <w:t>-</w:t>
      </w:r>
      <w:r w:rsidRPr="00AC6AD1">
        <w:t xml:space="preserve"> and gender-neutral measures.</w:t>
      </w:r>
      <w:r>
        <w:t xml:space="preserve"> The DBE regulations in </w:t>
      </w:r>
      <w:r w:rsidRPr="00AC6AD1">
        <w:t xml:space="preserve">49 CFR 26.51 require that a recipient meet the maximum </w:t>
      </w:r>
      <w:r w:rsidRPr="00406E6D">
        <w:t>feasible portion of its overall goal by using race</w:t>
      </w:r>
      <w:r>
        <w:t>-</w:t>
      </w:r>
      <w:r w:rsidRPr="00406E6D">
        <w:t xml:space="preserve"> and gender-neutral measures.</w:t>
      </w:r>
      <w:r>
        <w:t xml:space="preserve"> Based on Metro’s median past DBE participation, as documented in Table 1.09, it </w:t>
      </w:r>
      <w:r w:rsidRPr="00406E6D">
        <w:t xml:space="preserve">is </w:t>
      </w:r>
      <w:r>
        <w:t xml:space="preserve">expected that 2% </w:t>
      </w:r>
      <w:r w:rsidRPr="00406E6D">
        <w:t xml:space="preserve">of the </w:t>
      </w:r>
      <w:r>
        <w:t>18%</w:t>
      </w:r>
      <w:r>
        <w:rPr>
          <w:b/>
        </w:rPr>
        <w:t xml:space="preserve"> </w:t>
      </w:r>
      <w:r w:rsidRPr="00406E6D">
        <w:t>overall can be achieved using race</w:t>
      </w:r>
      <w:r>
        <w:t>-</w:t>
      </w:r>
      <w:r w:rsidRPr="00406E6D">
        <w:t xml:space="preserve"> and gender-neutral measures</w:t>
      </w:r>
      <w:r>
        <w:t xml:space="preserve">. </w:t>
      </w:r>
      <w:r w:rsidRPr="00406E6D">
        <w:t xml:space="preserve">The remaining </w:t>
      </w:r>
      <w:r>
        <w:t>16%</w:t>
      </w:r>
      <w:r>
        <w:rPr>
          <w:b/>
        </w:rPr>
        <w:t xml:space="preserve"> </w:t>
      </w:r>
      <w:r w:rsidRPr="00406E6D">
        <w:t>will be met through race</w:t>
      </w:r>
      <w:r>
        <w:t>-</w:t>
      </w:r>
      <w:r w:rsidRPr="00406E6D">
        <w:t xml:space="preserve"> and gender-conscious measures</w:t>
      </w:r>
      <w:r>
        <w:t>.</w:t>
      </w:r>
      <w:r w:rsidRPr="00406E6D">
        <w:t xml:space="preserve"> </w:t>
      </w:r>
    </w:p>
    <w:p w:rsidR="00081848" w:rsidRDefault="00081848" w:rsidP="00D244B4"/>
    <w:p w:rsidR="00081848" w:rsidRPr="00AC6AD1" w:rsidRDefault="00081848" w:rsidP="00D244B4">
      <w:pPr>
        <w:jc w:val="center"/>
        <w:rPr>
          <w:b/>
        </w:rPr>
      </w:pPr>
      <w:r>
        <w:rPr>
          <w:b/>
        </w:rPr>
        <w:t>Table 1</w:t>
      </w:r>
      <w:r w:rsidRPr="00E30DDE">
        <w:rPr>
          <w:b/>
        </w:rPr>
        <w:t>.0</w:t>
      </w:r>
      <w:fldSimple w:instr=" SEQ Table \* MERGEFORMAT ">
        <w:r w:rsidR="003F72B8" w:rsidRPr="003F72B8">
          <w:rPr>
            <w:b/>
            <w:noProof/>
          </w:rPr>
          <w:t>9</w:t>
        </w:r>
      </w:fldSimple>
      <w:r>
        <w:rPr>
          <w:b/>
        </w:rPr>
        <w:t xml:space="preserve">: Race and Gender-Neutral/Conscious Portions of the Goal </w:t>
      </w:r>
    </w:p>
    <w:p w:rsidR="00081848" w:rsidRDefault="00081848" w:rsidP="00D244B4"/>
    <w:tbl>
      <w:tblPr>
        <w:tblW w:w="2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1172"/>
      </w:tblGrid>
      <w:tr w:rsidR="00081848" w:rsidRPr="00B707FF" w:rsidTr="00B36282">
        <w:trPr>
          <w:trHeight w:val="300"/>
          <w:jc w:val="center"/>
        </w:trPr>
        <w:tc>
          <w:tcPr>
            <w:tcW w:w="1380" w:type="dxa"/>
            <w:shd w:val="clear" w:color="auto" w:fill="000000"/>
            <w:noWrap/>
            <w:vAlign w:val="center"/>
          </w:tcPr>
          <w:p w:rsidR="00081848" w:rsidRPr="00B707FF" w:rsidRDefault="00081848" w:rsidP="00B36282">
            <w:pPr>
              <w:jc w:val="center"/>
              <w:rPr>
                <w:rFonts w:ascii="Arial" w:hAnsi="Arial" w:cs="Arial"/>
                <w:b/>
                <w:bCs/>
                <w:color w:val="FFFFFF"/>
                <w:sz w:val="20"/>
                <w:szCs w:val="20"/>
              </w:rPr>
            </w:pPr>
            <w:r w:rsidRPr="00B707FF">
              <w:rPr>
                <w:rFonts w:ascii="Arial" w:hAnsi="Arial" w:cs="Arial"/>
                <w:b/>
                <w:bCs/>
                <w:color w:val="FFFFFF"/>
                <w:sz w:val="20"/>
                <w:szCs w:val="20"/>
              </w:rPr>
              <w:t>FFY</w:t>
            </w:r>
          </w:p>
        </w:tc>
        <w:tc>
          <w:tcPr>
            <w:tcW w:w="1172" w:type="dxa"/>
            <w:shd w:val="clear" w:color="auto" w:fill="000000"/>
            <w:noWrap/>
            <w:vAlign w:val="center"/>
          </w:tcPr>
          <w:p w:rsidR="00081848" w:rsidRPr="00B707FF" w:rsidRDefault="00081848" w:rsidP="00B36282">
            <w:pPr>
              <w:jc w:val="center"/>
              <w:rPr>
                <w:rFonts w:ascii="Arial" w:hAnsi="Arial" w:cs="Arial"/>
                <w:b/>
                <w:bCs/>
                <w:color w:val="FFFFFF"/>
                <w:sz w:val="20"/>
                <w:szCs w:val="20"/>
              </w:rPr>
            </w:pPr>
            <w:r w:rsidRPr="00B707FF">
              <w:rPr>
                <w:rFonts w:ascii="Arial" w:hAnsi="Arial" w:cs="Arial"/>
                <w:b/>
                <w:bCs/>
                <w:color w:val="FFFFFF"/>
                <w:sz w:val="20"/>
                <w:szCs w:val="20"/>
              </w:rPr>
              <w:t>DBE Utilization</w:t>
            </w:r>
          </w:p>
        </w:tc>
      </w:tr>
      <w:tr w:rsidR="00081848" w:rsidRPr="00B707FF" w:rsidTr="00B36282">
        <w:trPr>
          <w:trHeight w:val="300"/>
          <w:jc w:val="center"/>
        </w:trPr>
        <w:tc>
          <w:tcPr>
            <w:tcW w:w="1380" w:type="dxa"/>
            <w:noWrap/>
            <w:vAlign w:val="center"/>
          </w:tcPr>
          <w:p w:rsidR="00081848" w:rsidRPr="00B707FF" w:rsidRDefault="00081848" w:rsidP="00B36282">
            <w:pPr>
              <w:jc w:val="center"/>
              <w:rPr>
                <w:rFonts w:ascii="Arial" w:hAnsi="Arial" w:cs="Arial"/>
                <w:color w:val="000000"/>
                <w:sz w:val="20"/>
                <w:szCs w:val="20"/>
              </w:rPr>
            </w:pPr>
            <w:r w:rsidRPr="00B707FF">
              <w:rPr>
                <w:rFonts w:ascii="Arial" w:hAnsi="Arial" w:cs="Arial"/>
                <w:color w:val="000000"/>
                <w:sz w:val="20"/>
                <w:szCs w:val="20"/>
              </w:rPr>
              <w:t>2013</w:t>
            </w:r>
          </w:p>
        </w:tc>
        <w:tc>
          <w:tcPr>
            <w:tcW w:w="1172" w:type="dxa"/>
            <w:noWrap/>
            <w:vAlign w:val="center"/>
          </w:tcPr>
          <w:p w:rsidR="00081848" w:rsidRPr="00B707FF" w:rsidRDefault="00081848" w:rsidP="00B36282">
            <w:pPr>
              <w:jc w:val="center"/>
              <w:rPr>
                <w:rFonts w:ascii="Arial" w:hAnsi="Arial" w:cs="Arial"/>
                <w:color w:val="000000"/>
                <w:sz w:val="20"/>
                <w:szCs w:val="20"/>
              </w:rPr>
            </w:pPr>
            <w:r w:rsidRPr="00B707FF">
              <w:rPr>
                <w:rFonts w:ascii="Arial" w:hAnsi="Arial" w:cs="Arial"/>
                <w:color w:val="000000"/>
                <w:sz w:val="20"/>
                <w:szCs w:val="20"/>
              </w:rPr>
              <w:t>0.51%</w:t>
            </w:r>
          </w:p>
        </w:tc>
      </w:tr>
      <w:tr w:rsidR="00081848" w:rsidRPr="00B707FF" w:rsidTr="00B36282">
        <w:trPr>
          <w:trHeight w:val="300"/>
          <w:jc w:val="center"/>
        </w:trPr>
        <w:tc>
          <w:tcPr>
            <w:tcW w:w="1380" w:type="dxa"/>
            <w:noWrap/>
            <w:vAlign w:val="center"/>
          </w:tcPr>
          <w:p w:rsidR="00081848" w:rsidRPr="00B707FF" w:rsidRDefault="00081848" w:rsidP="00B36282">
            <w:pPr>
              <w:jc w:val="center"/>
              <w:rPr>
                <w:rFonts w:ascii="Arial" w:hAnsi="Arial" w:cs="Arial"/>
                <w:color w:val="000000"/>
                <w:sz w:val="20"/>
                <w:szCs w:val="20"/>
              </w:rPr>
            </w:pPr>
            <w:r w:rsidRPr="00B707FF">
              <w:rPr>
                <w:rFonts w:ascii="Arial" w:hAnsi="Arial" w:cs="Arial"/>
                <w:color w:val="000000"/>
                <w:sz w:val="20"/>
                <w:szCs w:val="20"/>
              </w:rPr>
              <w:t>2014</w:t>
            </w:r>
          </w:p>
        </w:tc>
        <w:tc>
          <w:tcPr>
            <w:tcW w:w="1172" w:type="dxa"/>
            <w:noWrap/>
            <w:vAlign w:val="center"/>
          </w:tcPr>
          <w:p w:rsidR="00081848" w:rsidRPr="00B707FF" w:rsidRDefault="00081848" w:rsidP="00B36282">
            <w:pPr>
              <w:jc w:val="center"/>
              <w:rPr>
                <w:rFonts w:ascii="Arial" w:hAnsi="Arial" w:cs="Arial"/>
                <w:color w:val="000000"/>
                <w:sz w:val="20"/>
                <w:szCs w:val="20"/>
              </w:rPr>
            </w:pPr>
            <w:r w:rsidRPr="00B707FF">
              <w:rPr>
                <w:rFonts w:ascii="Arial" w:hAnsi="Arial" w:cs="Arial"/>
                <w:color w:val="000000"/>
                <w:sz w:val="20"/>
                <w:szCs w:val="20"/>
              </w:rPr>
              <w:t>22.41%</w:t>
            </w:r>
          </w:p>
        </w:tc>
      </w:tr>
      <w:tr w:rsidR="00081848" w:rsidRPr="00B707FF" w:rsidTr="00B36282">
        <w:trPr>
          <w:trHeight w:val="300"/>
          <w:jc w:val="center"/>
        </w:trPr>
        <w:tc>
          <w:tcPr>
            <w:tcW w:w="1380" w:type="dxa"/>
            <w:shd w:val="clear" w:color="auto" w:fill="A6A6A6"/>
            <w:noWrap/>
            <w:vAlign w:val="center"/>
          </w:tcPr>
          <w:p w:rsidR="00081848" w:rsidRPr="00B707FF" w:rsidRDefault="00081848" w:rsidP="00B36282">
            <w:pPr>
              <w:jc w:val="center"/>
              <w:rPr>
                <w:rFonts w:ascii="Arial" w:hAnsi="Arial" w:cs="Arial"/>
                <w:color w:val="000000"/>
                <w:sz w:val="20"/>
                <w:szCs w:val="20"/>
              </w:rPr>
            </w:pPr>
            <w:r w:rsidRPr="00B707FF">
              <w:rPr>
                <w:rFonts w:ascii="Arial" w:hAnsi="Arial" w:cs="Arial"/>
                <w:color w:val="000000"/>
                <w:sz w:val="20"/>
                <w:szCs w:val="20"/>
              </w:rPr>
              <w:t>2015</w:t>
            </w:r>
          </w:p>
        </w:tc>
        <w:tc>
          <w:tcPr>
            <w:tcW w:w="1172" w:type="dxa"/>
            <w:shd w:val="clear" w:color="auto" w:fill="A6A6A6"/>
            <w:noWrap/>
            <w:vAlign w:val="center"/>
          </w:tcPr>
          <w:p w:rsidR="00081848" w:rsidRPr="00B707FF" w:rsidRDefault="00081848" w:rsidP="00B36282">
            <w:pPr>
              <w:jc w:val="center"/>
              <w:rPr>
                <w:rFonts w:ascii="Arial" w:hAnsi="Arial" w:cs="Arial"/>
                <w:color w:val="000000"/>
                <w:sz w:val="20"/>
                <w:szCs w:val="20"/>
              </w:rPr>
            </w:pPr>
            <w:r w:rsidRPr="00B707FF">
              <w:rPr>
                <w:rFonts w:ascii="Arial" w:hAnsi="Arial" w:cs="Arial"/>
                <w:color w:val="000000"/>
                <w:sz w:val="20"/>
                <w:szCs w:val="20"/>
              </w:rPr>
              <w:t>2.23%</w:t>
            </w:r>
          </w:p>
        </w:tc>
      </w:tr>
    </w:tbl>
    <w:p w:rsidR="00081848" w:rsidRDefault="00081848" w:rsidP="00D244B4"/>
    <w:p w:rsidR="00081848" w:rsidRPr="00E46FD8" w:rsidRDefault="00E46FD8" w:rsidP="00D244B4">
      <m:oMathPara>
        <m:oMath>
          <m:r>
            <w:rPr>
              <w:rFonts w:ascii="Cambria Math" w:hAnsi="Cambria Math"/>
            </w:rPr>
            <m:t>2% Race Neutral+16% Race Conscious=</m:t>
          </m:r>
        </m:oMath>
      </m:oMathPara>
    </w:p>
    <w:p w:rsidR="00081848" w:rsidRPr="00E46FD8" w:rsidRDefault="00E46FD8" w:rsidP="00D244B4">
      <w:pPr>
        <w:rPr>
          <w:b/>
        </w:rPr>
      </w:pPr>
      <m:oMathPara>
        <m:oMath>
          <m:r>
            <m:rPr>
              <m:sty m:val="bi"/>
            </m:rPr>
            <w:rPr>
              <w:rFonts w:ascii="Cambria Math" w:hAnsi="Cambria Math"/>
            </w:rPr>
            <m:t>18% Overall DBE Goal</m:t>
          </m:r>
        </m:oMath>
      </m:oMathPara>
    </w:p>
    <w:p w:rsidR="00081848" w:rsidRDefault="00081848" w:rsidP="00BB08DC"/>
    <w:p w:rsidR="00081848" w:rsidRDefault="00081848" w:rsidP="00D95ECF">
      <w:pPr>
        <w:pStyle w:val="BodyText"/>
        <w:tabs>
          <w:tab w:val="left" w:pos="810"/>
        </w:tabs>
        <w:rPr>
          <w:sz w:val="24"/>
        </w:rPr>
      </w:pPr>
      <w:r w:rsidRPr="00DB4EB3">
        <w:rPr>
          <w:sz w:val="24"/>
        </w:rPr>
        <w:t>Recipients in the Ninth Circuit cannot consider the use of a race</w:t>
      </w:r>
      <w:r>
        <w:rPr>
          <w:sz w:val="24"/>
        </w:rPr>
        <w:t>-</w:t>
      </w:r>
      <w:r w:rsidRPr="00DB4EB3">
        <w:rPr>
          <w:sz w:val="24"/>
        </w:rPr>
        <w:t xml:space="preserve">conscious goal unless a finding of disparity has been made for the ethnic groups to be included in the application. </w:t>
      </w:r>
      <w:r>
        <w:rPr>
          <w:sz w:val="24"/>
        </w:rPr>
        <w:t>T</w:t>
      </w:r>
      <w:r w:rsidRPr="00DB4EB3">
        <w:rPr>
          <w:sz w:val="24"/>
        </w:rPr>
        <w:t xml:space="preserve">he disparity findings in Metro’s 2012 DBE Program Disparity Study </w:t>
      </w:r>
      <w:bookmarkStart w:id="68" w:name="_Toc345954483"/>
      <w:bookmarkStart w:id="69" w:name="_Toc345954480"/>
      <w:r w:rsidRPr="00DB4EB3">
        <w:rPr>
          <w:sz w:val="24"/>
        </w:rPr>
        <w:t>documented a disparity for African Americans, Asian-Pacific Americans, Subcontinent Asian Am</w:t>
      </w:r>
      <w:r>
        <w:rPr>
          <w:sz w:val="24"/>
        </w:rPr>
        <w:t>ericans, and Hispanic Americans.</w:t>
      </w:r>
      <w:r w:rsidRPr="00DB4EB3">
        <w:rPr>
          <w:rStyle w:val="FootnoteReference"/>
          <w:sz w:val="24"/>
        </w:rPr>
        <w:footnoteReference w:id="9"/>
      </w:r>
      <w:r>
        <w:rPr>
          <w:sz w:val="24"/>
        </w:rPr>
        <w:t xml:space="preserve"> Caucasian females were over utilized.</w:t>
      </w:r>
    </w:p>
    <w:p w:rsidR="00081848" w:rsidRDefault="00081848" w:rsidP="00D95ECF">
      <w:pPr>
        <w:pStyle w:val="BodyText"/>
        <w:tabs>
          <w:tab w:val="left" w:pos="810"/>
        </w:tabs>
        <w:rPr>
          <w:sz w:val="24"/>
        </w:rPr>
      </w:pPr>
    </w:p>
    <w:p w:rsidR="00081848" w:rsidRPr="009B54A6" w:rsidRDefault="00081848" w:rsidP="000C2DC4">
      <w:pPr>
        <w:pStyle w:val="BodyText"/>
        <w:tabs>
          <w:tab w:val="left" w:pos="810"/>
        </w:tabs>
      </w:pPr>
      <w:r>
        <w:rPr>
          <w:sz w:val="24"/>
        </w:rPr>
        <w:t xml:space="preserve">An updated analysis was conducted to determine the current utilization of Caucasian females since the race-conscious program was implemented in 2013 without Caucasian females. Unlike racial discrimination which is subject to strict scrutiny, gender </w:t>
      </w:r>
      <w:r>
        <w:rPr>
          <w:sz w:val="24"/>
        </w:rPr>
        <w:lastRenderedPageBreak/>
        <w:t xml:space="preserve">discrimination is only subject to an intermediate scrutiny standard of review. Therefore, Caucasian females need only to be underutilized to be included in a gender-conscious remedy. Since not including Caucasian females in the DBE goal, utilization is now considerably lower than in the 2012 DBE Program Disparity Study. Given the fact that Caucasian females are currently underutilized, this gender group will be included in the FFY 2016-2018 overall DBE goal. </w:t>
      </w:r>
    </w:p>
    <w:p w:rsidR="00081848" w:rsidRDefault="00081848" w:rsidP="00D244B4">
      <w:pPr>
        <w:jc w:val="center"/>
      </w:pPr>
    </w:p>
    <w:p w:rsidR="003F72B8" w:rsidRPr="00AE29C1" w:rsidRDefault="003F72B8" w:rsidP="003F72B8">
      <w:pPr>
        <w:autoSpaceDE w:val="0"/>
        <w:autoSpaceDN w:val="0"/>
        <w:adjustRightInd w:val="0"/>
      </w:pPr>
    </w:p>
    <w:p w:rsidR="003F72B8" w:rsidRPr="00AE29C1" w:rsidRDefault="003F72B8" w:rsidP="003F72B8">
      <w:pPr>
        <w:pStyle w:val="Heading2"/>
        <w:numPr>
          <w:ilvl w:val="1"/>
          <w:numId w:val="6"/>
        </w:numPr>
        <w:spacing w:after="200" w:line="276" w:lineRule="auto"/>
        <w:contextualSpacing/>
        <w:jc w:val="left"/>
        <w:rPr>
          <w:i w:val="0"/>
          <w:szCs w:val="20"/>
        </w:rPr>
      </w:pPr>
      <w:bookmarkStart w:id="70" w:name="_Toc345085696"/>
      <w:bookmarkStart w:id="71" w:name="_Toc349839867"/>
      <w:r w:rsidRPr="00AE29C1">
        <w:rPr>
          <w:i w:val="0"/>
          <w:szCs w:val="20"/>
        </w:rPr>
        <w:t>Race and Gender-Neutral Initiatives</w:t>
      </w:r>
      <w:bookmarkEnd w:id="70"/>
      <w:bookmarkEnd w:id="71"/>
    </w:p>
    <w:p w:rsidR="003F72B8" w:rsidRPr="00E46FD8" w:rsidRDefault="003F72B8" w:rsidP="00E46FD8">
      <w:pPr>
        <w:numPr>
          <w:ilvl w:val="0"/>
          <w:numId w:val="20"/>
        </w:numPr>
        <w:tabs>
          <w:tab w:val="left" w:pos="180"/>
        </w:tabs>
        <w:spacing w:after="200" w:line="276" w:lineRule="auto"/>
        <w:contextualSpacing/>
        <w:jc w:val="left"/>
        <w:rPr>
          <w:rFonts w:eastAsia="Calibri"/>
          <w:b/>
        </w:rPr>
      </w:pPr>
      <w:r w:rsidRPr="00E46FD8">
        <w:rPr>
          <w:rFonts w:eastAsia="Calibri"/>
          <w:b/>
        </w:rPr>
        <w:t xml:space="preserve"> Small Business Prime </w:t>
      </w:r>
    </w:p>
    <w:p w:rsidR="003F72B8" w:rsidRPr="00E46FD8" w:rsidRDefault="003F72B8" w:rsidP="003F72B8">
      <w:pPr>
        <w:tabs>
          <w:tab w:val="left" w:pos="180"/>
        </w:tabs>
        <w:spacing w:after="200" w:line="276" w:lineRule="auto"/>
        <w:ind w:left="720"/>
        <w:contextualSpacing/>
        <w:jc w:val="left"/>
        <w:rPr>
          <w:rFonts w:eastAsia="Calibri"/>
          <w:b/>
        </w:rPr>
      </w:pPr>
    </w:p>
    <w:p w:rsidR="00E46FD8" w:rsidRDefault="003F72B8" w:rsidP="00E46FD8">
      <w:pPr>
        <w:spacing w:after="200" w:line="276" w:lineRule="auto"/>
        <w:contextualSpacing/>
        <w:jc w:val="left"/>
      </w:pPr>
      <w:r w:rsidRPr="00E46FD8">
        <w:t>Launched in June of 2014, this set-aside initiative reserves certain types of contracts for Small Business Enterprises (SBEs) qualified under the appropriate North American Industry Classification System codes. The program covers competitively negotiated contracts, sealed bids and public works that meet threshold criteria from $3,000 up to $5 million. Applicable procurements will be set aside for competition among SBEs when and if there is a competitive pool of three or more SBE firms available to perform the work.  To date, SBE prime awards have increased 72% in FY15 from FY14.</w:t>
      </w:r>
    </w:p>
    <w:p w:rsidR="00E46FD8" w:rsidRDefault="00E46FD8" w:rsidP="00E46FD8">
      <w:pPr>
        <w:spacing w:after="200" w:line="276" w:lineRule="auto"/>
        <w:contextualSpacing/>
        <w:jc w:val="left"/>
      </w:pPr>
    </w:p>
    <w:p w:rsidR="003F72B8" w:rsidRPr="00E46FD8" w:rsidRDefault="003F72B8" w:rsidP="00E46FD8">
      <w:pPr>
        <w:numPr>
          <w:ilvl w:val="0"/>
          <w:numId w:val="20"/>
        </w:numPr>
        <w:spacing w:after="200" w:line="276" w:lineRule="auto"/>
        <w:contextualSpacing/>
        <w:jc w:val="left"/>
      </w:pPr>
      <w:r w:rsidRPr="00E46FD8">
        <w:rPr>
          <w:rFonts w:eastAsia="Calibri"/>
          <w:b/>
        </w:rPr>
        <w:t>Metro Connect</w:t>
      </w:r>
    </w:p>
    <w:p w:rsidR="003F72B8" w:rsidRPr="00E46FD8" w:rsidRDefault="003F72B8" w:rsidP="003F72B8">
      <w:pPr>
        <w:spacing w:after="200" w:line="276" w:lineRule="auto"/>
        <w:ind w:left="450"/>
        <w:contextualSpacing/>
        <w:jc w:val="left"/>
        <w:rPr>
          <w:rFonts w:eastAsia="Calibri"/>
          <w:b/>
          <w:highlight w:val="yellow"/>
        </w:rPr>
      </w:pPr>
    </w:p>
    <w:p w:rsidR="003F72B8" w:rsidRPr="00E46FD8" w:rsidRDefault="003F72B8" w:rsidP="003F72B8">
      <w:pPr>
        <w:autoSpaceDE w:val="0"/>
        <w:autoSpaceDN w:val="0"/>
        <w:adjustRightInd w:val="0"/>
        <w:jc w:val="left"/>
      </w:pPr>
      <w:r w:rsidRPr="00E46FD8">
        <w:rPr>
          <w:color w:val="000000"/>
        </w:rPr>
        <w:t xml:space="preserve">This site is designed to give small businesses a direct route to working and growing with Metro. The site gives access to  tools and resources that are designed to support small business growth, such as </w:t>
      </w:r>
      <w:r w:rsidRPr="00E46FD8">
        <w:t xml:space="preserve">networking </w:t>
      </w:r>
      <w:hyperlink r:id="rId16" w:anchor="%40%3F_afrWindowId%3Dnull%26_afrLoop%3D3939217515466407%26_afrWindowMode%3D0%26_adf.ctrl-state%3Duomg06iya_4" w:tgtFrame="_self" w:history="1">
        <w:r w:rsidRPr="00E46FD8">
          <w:t>events</w:t>
        </w:r>
      </w:hyperlink>
      <w:r w:rsidRPr="00E46FD8">
        <w:t xml:space="preserve">, an online Tool Kit, and certification information.  Small business can also view current contracting opportunities, or visit the 12-Month Look Ahead page to see future opportunities.  Metro Connect aims to increase the opportunity for small businesses through various efforts that provide greater access and transparency around the agency’s procurement process and a direct route to Metro’s small business programs.  </w:t>
      </w:r>
    </w:p>
    <w:p w:rsidR="003F72B8" w:rsidRPr="00E46FD8" w:rsidRDefault="003F72B8" w:rsidP="003F72B8">
      <w:pPr>
        <w:spacing w:after="200" w:line="276" w:lineRule="auto"/>
        <w:ind w:left="90"/>
        <w:contextualSpacing/>
        <w:jc w:val="left"/>
        <w:rPr>
          <w:rFonts w:eastAsia="Calibri"/>
          <w:b/>
        </w:rPr>
      </w:pPr>
    </w:p>
    <w:p w:rsidR="003F72B8" w:rsidRPr="00E46FD8" w:rsidRDefault="003F72B8" w:rsidP="00E46FD8">
      <w:pPr>
        <w:numPr>
          <w:ilvl w:val="0"/>
          <w:numId w:val="20"/>
        </w:numPr>
        <w:spacing w:after="200" w:line="276" w:lineRule="auto"/>
        <w:contextualSpacing/>
        <w:jc w:val="left"/>
        <w:rPr>
          <w:rFonts w:eastAsia="Calibri"/>
          <w:b/>
        </w:rPr>
      </w:pPr>
      <w:r w:rsidRPr="00E46FD8">
        <w:rPr>
          <w:rFonts w:eastAsia="Calibri"/>
          <w:b/>
        </w:rPr>
        <w:t>Vendor Portal (Beta)</w:t>
      </w:r>
    </w:p>
    <w:p w:rsidR="003F72B8" w:rsidRPr="00E46FD8" w:rsidRDefault="003F72B8" w:rsidP="003F72B8">
      <w:pPr>
        <w:spacing w:after="200" w:line="276" w:lineRule="auto"/>
        <w:ind w:left="450"/>
        <w:contextualSpacing/>
        <w:jc w:val="left"/>
        <w:rPr>
          <w:rFonts w:eastAsia="Calibri"/>
          <w:b/>
          <w:highlight w:val="yellow"/>
        </w:rPr>
      </w:pPr>
    </w:p>
    <w:p w:rsidR="003F72B8" w:rsidRPr="00E46FD8" w:rsidRDefault="003F72B8" w:rsidP="003F72B8">
      <w:pPr>
        <w:spacing w:after="200"/>
        <w:jc w:val="left"/>
        <w:rPr>
          <w:rFonts w:eastAsia="Calibri"/>
        </w:rPr>
      </w:pPr>
      <w:r w:rsidRPr="00E46FD8">
        <w:rPr>
          <w:rFonts w:eastAsia="Calibri"/>
        </w:rPr>
        <w:t>Metro’s Vendor Portal is a “one-stop shop” with all the information and resources that make doing business with Metro easier and more efficient than ever.</w:t>
      </w:r>
    </w:p>
    <w:p w:rsidR="003F72B8" w:rsidRPr="00E46FD8" w:rsidRDefault="003F72B8" w:rsidP="003F72B8">
      <w:pPr>
        <w:spacing w:after="200"/>
        <w:jc w:val="left"/>
        <w:rPr>
          <w:rFonts w:eastAsia="Calibri"/>
        </w:rPr>
      </w:pPr>
      <w:r w:rsidRPr="00E46FD8">
        <w:rPr>
          <w:rFonts w:eastAsia="Calibri"/>
        </w:rPr>
        <w:t>The site includes online tools to:</w:t>
      </w:r>
    </w:p>
    <w:p w:rsidR="003F72B8" w:rsidRPr="00E46FD8" w:rsidRDefault="003F72B8" w:rsidP="003F72B8">
      <w:pPr>
        <w:numPr>
          <w:ilvl w:val="0"/>
          <w:numId w:val="15"/>
        </w:numPr>
        <w:spacing w:after="200" w:line="276" w:lineRule="auto"/>
        <w:contextualSpacing/>
        <w:jc w:val="left"/>
        <w:rPr>
          <w:rFonts w:eastAsia="Calibri"/>
        </w:rPr>
      </w:pPr>
      <w:r w:rsidRPr="00E46FD8">
        <w:rPr>
          <w:rFonts w:eastAsia="Calibri"/>
        </w:rPr>
        <w:t>Access current &amp; future metro business opportunities</w:t>
      </w:r>
    </w:p>
    <w:p w:rsidR="003F72B8" w:rsidRPr="00E46FD8" w:rsidRDefault="003F72B8" w:rsidP="003F72B8">
      <w:pPr>
        <w:numPr>
          <w:ilvl w:val="0"/>
          <w:numId w:val="15"/>
        </w:numPr>
        <w:spacing w:after="200" w:line="276" w:lineRule="auto"/>
        <w:contextualSpacing/>
        <w:jc w:val="left"/>
        <w:rPr>
          <w:rFonts w:eastAsia="Calibri"/>
        </w:rPr>
      </w:pPr>
      <w:r w:rsidRPr="00E46FD8">
        <w:rPr>
          <w:rFonts w:eastAsia="Calibri"/>
        </w:rPr>
        <w:t>Learn about guidelines &amp; qualification programs</w:t>
      </w:r>
    </w:p>
    <w:p w:rsidR="003F72B8" w:rsidRPr="00E46FD8" w:rsidRDefault="003F72B8" w:rsidP="003F72B8">
      <w:pPr>
        <w:numPr>
          <w:ilvl w:val="0"/>
          <w:numId w:val="15"/>
        </w:numPr>
        <w:spacing w:after="200" w:line="276" w:lineRule="auto"/>
        <w:contextualSpacing/>
        <w:jc w:val="left"/>
        <w:rPr>
          <w:rFonts w:eastAsia="Calibri"/>
        </w:rPr>
      </w:pPr>
      <w:r w:rsidRPr="00E46FD8">
        <w:rPr>
          <w:rFonts w:eastAsia="Calibri"/>
        </w:rPr>
        <w:t>Complete online programs</w:t>
      </w:r>
    </w:p>
    <w:p w:rsidR="003F72B8" w:rsidRPr="00E46FD8" w:rsidRDefault="003F72B8" w:rsidP="003F72B8">
      <w:pPr>
        <w:numPr>
          <w:ilvl w:val="0"/>
          <w:numId w:val="15"/>
        </w:numPr>
        <w:spacing w:after="200" w:line="276" w:lineRule="auto"/>
        <w:contextualSpacing/>
        <w:jc w:val="left"/>
        <w:rPr>
          <w:rFonts w:eastAsia="Calibri"/>
        </w:rPr>
      </w:pPr>
      <w:r w:rsidRPr="00E46FD8">
        <w:rPr>
          <w:rFonts w:eastAsia="Calibri"/>
        </w:rPr>
        <w:t>Complete online forms</w:t>
      </w:r>
    </w:p>
    <w:p w:rsidR="003F72B8" w:rsidRPr="00E46FD8" w:rsidRDefault="003F72B8" w:rsidP="003F72B8">
      <w:pPr>
        <w:numPr>
          <w:ilvl w:val="0"/>
          <w:numId w:val="15"/>
        </w:numPr>
        <w:spacing w:after="200" w:line="276" w:lineRule="auto"/>
        <w:contextualSpacing/>
        <w:jc w:val="left"/>
        <w:rPr>
          <w:rFonts w:eastAsia="Calibri"/>
        </w:rPr>
      </w:pPr>
      <w:r w:rsidRPr="00E46FD8">
        <w:rPr>
          <w:rFonts w:eastAsia="Calibri"/>
        </w:rPr>
        <w:t>Access small business tools</w:t>
      </w:r>
    </w:p>
    <w:p w:rsidR="003F72B8" w:rsidRPr="00E46FD8" w:rsidRDefault="003F72B8" w:rsidP="003F72B8">
      <w:pPr>
        <w:numPr>
          <w:ilvl w:val="0"/>
          <w:numId w:val="15"/>
        </w:numPr>
        <w:spacing w:after="200" w:line="276" w:lineRule="auto"/>
        <w:contextualSpacing/>
        <w:jc w:val="left"/>
        <w:rPr>
          <w:rFonts w:eastAsia="Calibri"/>
        </w:rPr>
      </w:pPr>
      <w:r w:rsidRPr="00E46FD8">
        <w:rPr>
          <w:rFonts w:eastAsia="Calibri"/>
        </w:rPr>
        <w:t>Learn about the latest procurement news &amp; tips</w:t>
      </w:r>
    </w:p>
    <w:p w:rsidR="003F72B8" w:rsidRPr="00E46FD8" w:rsidRDefault="003F72B8" w:rsidP="003F72B8">
      <w:pPr>
        <w:spacing w:after="200" w:line="276" w:lineRule="auto"/>
        <w:jc w:val="left"/>
        <w:rPr>
          <w:rFonts w:eastAsia="Calibri"/>
        </w:rPr>
      </w:pPr>
    </w:p>
    <w:p w:rsidR="003F72B8" w:rsidRPr="00E46FD8" w:rsidRDefault="003F72B8" w:rsidP="00E46FD8">
      <w:pPr>
        <w:numPr>
          <w:ilvl w:val="0"/>
          <w:numId w:val="20"/>
        </w:numPr>
        <w:spacing w:after="200" w:line="276" w:lineRule="auto"/>
        <w:contextualSpacing/>
        <w:jc w:val="left"/>
        <w:rPr>
          <w:rFonts w:eastAsia="Calibri"/>
          <w:b/>
        </w:rPr>
      </w:pPr>
      <w:r w:rsidRPr="00E46FD8">
        <w:rPr>
          <w:rFonts w:eastAsia="Calibri"/>
          <w:b/>
        </w:rPr>
        <w:t>Twelve Month Look-Ahead</w:t>
      </w:r>
    </w:p>
    <w:p w:rsidR="003F72B8" w:rsidRPr="00E46FD8" w:rsidRDefault="003F72B8" w:rsidP="003F72B8">
      <w:pPr>
        <w:spacing w:after="200" w:line="276" w:lineRule="auto"/>
        <w:ind w:left="450"/>
        <w:contextualSpacing/>
        <w:jc w:val="left"/>
        <w:rPr>
          <w:rFonts w:eastAsia="Calibri"/>
          <w:b/>
        </w:rPr>
      </w:pPr>
    </w:p>
    <w:p w:rsidR="003F72B8" w:rsidRPr="00E46FD8" w:rsidRDefault="003F72B8" w:rsidP="003F72B8">
      <w:pPr>
        <w:jc w:val="left"/>
        <w:rPr>
          <w:lang w:val="en"/>
        </w:rPr>
      </w:pPr>
      <w:r w:rsidRPr="00E46FD8">
        <w:rPr>
          <w:lang w:val="en"/>
        </w:rPr>
        <w:t>The information listed on the twelve month look-ahead in the vendor portal is a preview of Metro's planned solicitations for the next twelve months. Newly designed in response to feedback from the business community, this web-based, single source of upcoming agency-wide procurement opportunities will enable businesses to better plan for pursuing bids.  (The information is subject to change at any time without notice.)</w:t>
      </w:r>
    </w:p>
    <w:p w:rsidR="003F72B8" w:rsidRPr="00E46FD8" w:rsidRDefault="003F72B8" w:rsidP="003F72B8"/>
    <w:p w:rsidR="003F72B8" w:rsidRPr="00E46FD8" w:rsidRDefault="003F72B8" w:rsidP="00E46FD8">
      <w:pPr>
        <w:numPr>
          <w:ilvl w:val="0"/>
          <w:numId w:val="20"/>
        </w:numPr>
        <w:contextualSpacing/>
        <w:rPr>
          <w:b/>
        </w:rPr>
      </w:pPr>
      <w:r w:rsidRPr="00E46FD8">
        <w:rPr>
          <w:b/>
        </w:rPr>
        <w:t>Meet the Project Managers Networking/Relationship Building Event</w:t>
      </w:r>
    </w:p>
    <w:p w:rsidR="003F72B8" w:rsidRPr="00E46FD8" w:rsidRDefault="003F72B8" w:rsidP="003F72B8">
      <w:pPr>
        <w:spacing w:before="100" w:beforeAutospacing="1" w:after="100" w:afterAutospacing="1"/>
        <w:jc w:val="left"/>
        <w:rPr>
          <w:lang w:val="en"/>
        </w:rPr>
      </w:pPr>
      <w:r w:rsidRPr="00E46FD8">
        <w:rPr>
          <w:lang w:val="en"/>
        </w:rPr>
        <w:t>Metro and the Transportation Business Advisory Council (see below) introduced this new networking opportunity in May of 2015. The event provides small businesses the opportunity to meet face-to-face with Project Managers (PMs) who oversee large and small Metro projects, a vital link to working with Metro, given the vast number of projects that are in the works or being considered for future development. A listing of PMs and their areas of expertise is sent to all who register for this event.</w:t>
      </w:r>
    </w:p>
    <w:p w:rsidR="003F72B8" w:rsidRPr="00E46FD8" w:rsidRDefault="003F72B8" w:rsidP="003F72B8"/>
    <w:p w:rsidR="003F72B8" w:rsidRPr="00E46FD8" w:rsidRDefault="003F72B8" w:rsidP="00E46FD8">
      <w:pPr>
        <w:keepNext/>
        <w:numPr>
          <w:ilvl w:val="0"/>
          <w:numId w:val="20"/>
        </w:numPr>
        <w:spacing w:after="200" w:line="276" w:lineRule="auto"/>
        <w:contextualSpacing/>
        <w:jc w:val="left"/>
        <w:outlineLvl w:val="2"/>
        <w:rPr>
          <w:b/>
          <w:bCs/>
        </w:rPr>
      </w:pPr>
      <w:r w:rsidRPr="00E46FD8">
        <w:rPr>
          <w:b/>
          <w:bCs/>
        </w:rPr>
        <w:t>Meet the Primes Network/Relationship Building Event</w:t>
      </w:r>
    </w:p>
    <w:p w:rsidR="003F72B8" w:rsidRPr="00E46FD8" w:rsidRDefault="003F72B8" w:rsidP="003F72B8">
      <w:pPr>
        <w:keepNext/>
      </w:pPr>
    </w:p>
    <w:p w:rsidR="003F72B8" w:rsidRPr="00E46FD8" w:rsidRDefault="003F72B8" w:rsidP="003F72B8">
      <w:r w:rsidRPr="00E46FD8">
        <w:t xml:space="preserve">These events provide opportunities for small businesses to build relationships with large contractors that do business with Metro, and other agencies in the Southern California region. At these events, small businesses can share their products, services and professional expertise with approximately 20 large businesses, and with Metro personnel. </w:t>
      </w:r>
    </w:p>
    <w:p w:rsidR="003F72B8" w:rsidRPr="00E46FD8" w:rsidRDefault="003F72B8" w:rsidP="003F72B8"/>
    <w:p w:rsidR="003F72B8" w:rsidRPr="00E46FD8" w:rsidRDefault="003F72B8" w:rsidP="00E46FD8">
      <w:pPr>
        <w:keepNext/>
        <w:numPr>
          <w:ilvl w:val="0"/>
          <w:numId w:val="20"/>
        </w:numPr>
        <w:spacing w:after="200" w:line="276" w:lineRule="auto"/>
        <w:contextualSpacing/>
        <w:jc w:val="left"/>
        <w:outlineLvl w:val="2"/>
        <w:rPr>
          <w:b/>
          <w:bCs/>
        </w:rPr>
      </w:pPr>
      <w:r w:rsidRPr="00E46FD8">
        <w:rPr>
          <w:b/>
          <w:bCs/>
        </w:rPr>
        <w:t>Meet the Buyers Network/Relationship Building Event</w:t>
      </w:r>
    </w:p>
    <w:p w:rsidR="003F72B8" w:rsidRPr="00E46FD8" w:rsidRDefault="003F72B8" w:rsidP="003F72B8">
      <w:pPr>
        <w:keepNext/>
      </w:pPr>
    </w:p>
    <w:p w:rsidR="003F72B8" w:rsidRPr="00E46FD8" w:rsidRDefault="003F72B8" w:rsidP="003F72B8">
      <w:r w:rsidRPr="00E46FD8">
        <w:t xml:space="preserve">This event, conducted at least twice per year, provides an opportunity to meet in person with Metro’s Contract Administrators and Buyers.  DBEs and other small businesses can share their products and services with pertinent Metro staff. They can also receive information and assistance on registering as a vendor, certification as a DBE, completing prequalification requirements, enrolling in the Small Business Orientation sessions, and meeting key Metro personnel. </w:t>
      </w:r>
    </w:p>
    <w:p w:rsidR="003F72B8" w:rsidRPr="00E46FD8" w:rsidRDefault="003F72B8" w:rsidP="003F72B8"/>
    <w:p w:rsidR="003F72B8" w:rsidRPr="00E46FD8" w:rsidRDefault="003F72B8" w:rsidP="003F72B8"/>
    <w:p w:rsidR="003F72B8" w:rsidRPr="00E46FD8" w:rsidRDefault="003F72B8" w:rsidP="00E46FD8">
      <w:pPr>
        <w:keepNext/>
        <w:numPr>
          <w:ilvl w:val="0"/>
          <w:numId w:val="20"/>
        </w:numPr>
        <w:spacing w:after="200" w:line="276" w:lineRule="auto"/>
        <w:contextualSpacing/>
        <w:jc w:val="left"/>
        <w:outlineLvl w:val="2"/>
        <w:rPr>
          <w:b/>
          <w:bCs/>
        </w:rPr>
      </w:pPr>
      <w:r w:rsidRPr="00E46FD8">
        <w:rPr>
          <w:b/>
          <w:bCs/>
        </w:rPr>
        <w:t>Monthly “How to Do Business with MTA” Workshops</w:t>
      </w:r>
    </w:p>
    <w:p w:rsidR="003F72B8" w:rsidRPr="00E46FD8" w:rsidRDefault="003F72B8" w:rsidP="003F72B8">
      <w:pPr>
        <w:keepNext/>
      </w:pPr>
    </w:p>
    <w:p w:rsidR="003F72B8" w:rsidRPr="00E46FD8" w:rsidRDefault="003F72B8" w:rsidP="003F72B8">
      <w:r w:rsidRPr="00E46FD8">
        <w:t>The Small Business Orientation helps small and disadvantaged businesses understand how to do business with Metro.  The orientation covers the requirements a business must meet in order to do business with Metro, the certifications that are required for certain programs or types of projects, the types of contracts Metro typically performs, where to find project solicitations, and how to obtain other information about Metro.  Small business owners also meet procurement staff in their area of expertise to ask questions, as staff is available.</w:t>
      </w:r>
    </w:p>
    <w:p w:rsidR="003F72B8" w:rsidRPr="00E46FD8" w:rsidRDefault="003F72B8" w:rsidP="003F72B8"/>
    <w:p w:rsidR="003F72B8" w:rsidRPr="00E46FD8" w:rsidRDefault="003F72B8" w:rsidP="00E46FD8">
      <w:pPr>
        <w:keepNext/>
        <w:numPr>
          <w:ilvl w:val="0"/>
          <w:numId w:val="20"/>
        </w:numPr>
        <w:spacing w:after="200" w:line="276" w:lineRule="auto"/>
        <w:contextualSpacing/>
        <w:jc w:val="left"/>
        <w:outlineLvl w:val="2"/>
        <w:rPr>
          <w:b/>
          <w:bCs/>
        </w:rPr>
      </w:pPr>
      <w:r w:rsidRPr="00E46FD8">
        <w:rPr>
          <w:b/>
          <w:bCs/>
        </w:rPr>
        <w:t>Small Business Enterprise Program</w:t>
      </w:r>
    </w:p>
    <w:p w:rsidR="003F72B8" w:rsidRPr="00E46FD8" w:rsidRDefault="003F72B8" w:rsidP="003F72B8">
      <w:pPr>
        <w:keepNext/>
      </w:pPr>
    </w:p>
    <w:p w:rsidR="003F72B8" w:rsidRPr="00E46FD8" w:rsidRDefault="003F72B8" w:rsidP="003F72B8">
      <w:r w:rsidRPr="00E46FD8">
        <w:t>The Small Business Enterprise (SBE) Program was first adopted in 1997 and was designed to comply with California’s Proposition 209, which prohibits explicit consideration of race or gender in the award of state and locally funded contracts.  The 15 percent SBE utilization in federally assisted contracts was increased to 30 percent for fiscal years 2012 and 2013.  The SBE Program applies a SBE subcontracting goal to competitively bid and negotiated contracts, and is identical in practice and scope to Metro’s DBE program.  Metro uses the California Unified Certification Program (CUCP) DBE application for the SBE program, as the requirements are similar, except for the necessity to establish the owner’s social disadvantage for DBE Program eligibility. All businesses which received DBE certification are also certified as a SBE.</w:t>
      </w:r>
      <w:r w:rsidRPr="00E46FD8">
        <w:rPr>
          <w:vertAlign w:val="superscript"/>
        </w:rPr>
        <w:footnoteReference w:id="10"/>
      </w:r>
    </w:p>
    <w:p w:rsidR="003F72B8" w:rsidRPr="00E46FD8" w:rsidRDefault="003F72B8" w:rsidP="003F72B8"/>
    <w:p w:rsidR="003F72B8" w:rsidRPr="00E46FD8" w:rsidRDefault="003F72B8" w:rsidP="00E46FD8">
      <w:pPr>
        <w:keepNext/>
        <w:numPr>
          <w:ilvl w:val="0"/>
          <w:numId w:val="20"/>
        </w:numPr>
        <w:spacing w:after="200" w:line="276" w:lineRule="auto"/>
        <w:contextualSpacing/>
        <w:jc w:val="left"/>
        <w:outlineLvl w:val="2"/>
        <w:rPr>
          <w:b/>
          <w:bCs/>
        </w:rPr>
      </w:pPr>
      <w:r w:rsidRPr="00E46FD8">
        <w:rPr>
          <w:b/>
          <w:bCs/>
        </w:rPr>
        <w:t>Shared Responsibility Program</w:t>
      </w:r>
    </w:p>
    <w:p w:rsidR="003F72B8" w:rsidRPr="00E46FD8" w:rsidRDefault="003F72B8" w:rsidP="003F72B8">
      <w:pPr>
        <w:keepNext/>
      </w:pPr>
    </w:p>
    <w:p w:rsidR="003F72B8" w:rsidRPr="00E46FD8" w:rsidRDefault="003F72B8" w:rsidP="003F72B8">
      <w:r w:rsidRPr="00E46FD8">
        <w:t xml:space="preserve">In 2011, Metro launched a new Chief Executive Officer </w:t>
      </w:r>
      <w:proofErr w:type="gramStart"/>
      <w:r w:rsidRPr="00E46FD8">
        <w:t>initiative</w:t>
      </w:r>
      <w:proofErr w:type="gramEnd"/>
      <w:r w:rsidRPr="00E46FD8">
        <w:t xml:space="preserve"> agency-wide in order to engage departments at the highest level in increasing DBE participation.  Metro has established an internal 20 percent small and disadvantaged business target for each department.  This shared responsibility requires department executives to identify contracting opportunities within their respective departments for small business participation.  Department year-end performance is tracked and reported to the Chief Executive Officer, and is included in executive performance reviews.</w:t>
      </w:r>
    </w:p>
    <w:p w:rsidR="003F72B8" w:rsidRPr="00E46FD8" w:rsidRDefault="003F72B8" w:rsidP="003F72B8"/>
    <w:p w:rsidR="003F72B8" w:rsidRPr="00E46FD8" w:rsidRDefault="003F72B8" w:rsidP="00E46FD8">
      <w:pPr>
        <w:keepNext/>
        <w:numPr>
          <w:ilvl w:val="0"/>
          <w:numId w:val="20"/>
        </w:numPr>
        <w:spacing w:after="200" w:line="276" w:lineRule="auto"/>
        <w:contextualSpacing/>
        <w:jc w:val="left"/>
        <w:outlineLvl w:val="2"/>
        <w:rPr>
          <w:b/>
          <w:bCs/>
        </w:rPr>
      </w:pPr>
      <w:r w:rsidRPr="00E46FD8">
        <w:rPr>
          <w:b/>
          <w:bCs/>
        </w:rPr>
        <w:t>Transportation Business Advisory Council</w:t>
      </w:r>
    </w:p>
    <w:p w:rsidR="003F72B8" w:rsidRPr="00E46FD8" w:rsidRDefault="003F72B8" w:rsidP="003F72B8">
      <w:pPr>
        <w:keepNext/>
      </w:pPr>
    </w:p>
    <w:p w:rsidR="003F72B8" w:rsidRPr="00E46FD8" w:rsidRDefault="003F72B8" w:rsidP="003F72B8">
      <w:r w:rsidRPr="00E46FD8">
        <w:t>Small Business owners and interested parties are welcomed and encouraged to attend the monthly Transportation Business Advisory Council (TBAC) meeting.  TBAC meetings provide small businesses a forum to discuss topics and issues impacting business owners throughout the contracting community.  Particularly, TBAC advocates for small business owners to have increased access to Metro’s procurement process.  TBAC meetings are beneficial for all business interests.  The meetings feature:  a monthly speaker series, Metro current and future contract opportunities, legislation updates, and current trends in transportation.  TBAC is comprised of professional business associations representing an array of industries and trades.  TBAC has been instrumental in working with the Diversity &amp; Economic Opportunity Department to develop a successful path toward bridging relationships between small businesses and Metro.</w:t>
      </w:r>
      <w:r w:rsidRPr="00E46FD8">
        <w:rPr>
          <w:vertAlign w:val="superscript"/>
        </w:rPr>
        <w:footnoteReference w:id="11"/>
      </w:r>
    </w:p>
    <w:p w:rsidR="003F72B8" w:rsidRPr="00E46FD8" w:rsidRDefault="003F72B8" w:rsidP="003F72B8"/>
    <w:p w:rsidR="003F72B8" w:rsidRPr="00E46FD8" w:rsidRDefault="003F72B8" w:rsidP="00E46FD8">
      <w:pPr>
        <w:keepNext/>
        <w:numPr>
          <w:ilvl w:val="0"/>
          <w:numId w:val="20"/>
        </w:numPr>
        <w:spacing w:after="200" w:line="276" w:lineRule="auto"/>
        <w:contextualSpacing/>
        <w:jc w:val="left"/>
        <w:outlineLvl w:val="2"/>
        <w:rPr>
          <w:b/>
          <w:bCs/>
        </w:rPr>
      </w:pPr>
      <w:r w:rsidRPr="00E46FD8">
        <w:rPr>
          <w:b/>
          <w:bCs/>
        </w:rPr>
        <w:lastRenderedPageBreak/>
        <w:t>Unbundling Prime Contracts</w:t>
      </w:r>
    </w:p>
    <w:p w:rsidR="003F72B8" w:rsidRPr="00E46FD8" w:rsidRDefault="003F72B8" w:rsidP="003F72B8">
      <w:pPr>
        <w:keepNext/>
      </w:pPr>
    </w:p>
    <w:p w:rsidR="003F72B8" w:rsidRPr="00E46FD8" w:rsidRDefault="003F72B8" w:rsidP="003F72B8">
      <w:r w:rsidRPr="00E46FD8">
        <w:t>Metro currently unbundles large contracts in order to facilitate the participation of DBE businesses.  In addition to ongoing efforts, Metro will take additional affirmative steps to break up large contracts, when feasible, in order to increase small business contracting opportunities and participation.</w:t>
      </w:r>
    </w:p>
    <w:p w:rsidR="003F72B8" w:rsidRPr="00E46FD8" w:rsidRDefault="003F72B8" w:rsidP="003F72B8"/>
    <w:p w:rsidR="003F72B8" w:rsidRPr="00E46FD8" w:rsidRDefault="003F72B8" w:rsidP="00E46FD8">
      <w:pPr>
        <w:keepNext/>
        <w:numPr>
          <w:ilvl w:val="0"/>
          <w:numId w:val="20"/>
        </w:numPr>
        <w:spacing w:after="200" w:line="276" w:lineRule="auto"/>
        <w:contextualSpacing/>
        <w:jc w:val="left"/>
        <w:outlineLvl w:val="2"/>
        <w:rPr>
          <w:b/>
          <w:bCs/>
        </w:rPr>
      </w:pPr>
      <w:r w:rsidRPr="00E46FD8">
        <w:rPr>
          <w:b/>
          <w:bCs/>
        </w:rPr>
        <w:t>Insurance Broker Panel</w:t>
      </w:r>
    </w:p>
    <w:p w:rsidR="003F72B8" w:rsidRPr="00E46FD8" w:rsidRDefault="003F72B8" w:rsidP="003F72B8">
      <w:pPr>
        <w:keepNext/>
      </w:pPr>
    </w:p>
    <w:p w:rsidR="003F72B8" w:rsidRPr="00E46FD8" w:rsidRDefault="003F72B8" w:rsidP="003F72B8">
      <w:r w:rsidRPr="00E46FD8">
        <w:t>Metro has established a panel of commercial insurance brokers to assist businesses that lack required insurance coverage.  The panel provides proposals and insurance placement for contractors in order to assist them in meeting Metro’s risk management requirements.  The broker panel is disseminated to small businesses through the Transportation Business Advisory Council (TBAC), small business outreach events, Metro’s small business orientation classes and published on Metro’s website.</w:t>
      </w:r>
    </w:p>
    <w:p w:rsidR="003F72B8" w:rsidRPr="00E46FD8" w:rsidRDefault="003F72B8" w:rsidP="003F72B8"/>
    <w:p w:rsidR="003F72B8" w:rsidRPr="00E46FD8" w:rsidRDefault="003F72B8" w:rsidP="003F72B8"/>
    <w:p w:rsidR="003F72B8" w:rsidRPr="00E46FD8" w:rsidRDefault="003F72B8" w:rsidP="00E46FD8">
      <w:pPr>
        <w:keepNext/>
        <w:numPr>
          <w:ilvl w:val="0"/>
          <w:numId w:val="20"/>
        </w:numPr>
        <w:spacing w:after="200" w:line="276" w:lineRule="auto"/>
        <w:contextualSpacing/>
        <w:jc w:val="left"/>
        <w:outlineLvl w:val="2"/>
        <w:rPr>
          <w:b/>
          <w:bCs/>
        </w:rPr>
      </w:pPr>
      <w:r w:rsidRPr="00E46FD8">
        <w:rPr>
          <w:b/>
          <w:bCs/>
        </w:rPr>
        <w:t>Attendance at Vendor Fairs/Business Networking Events</w:t>
      </w:r>
    </w:p>
    <w:p w:rsidR="003F72B8" w:rsidRPr="00E46FD8" w:rsidRDefault="003F72B8" w:rsidP="003F72B8">
      <w:pPr>
        <w:keepNext/>
      </w:pPr>
    </w:p>
    <w:p w:rsidR="003F72B8" w:rsidRPr="00E46FD8" w:rsidRDefault="003F72B8" w:rsidP="003F72B8">
      <w:r w:rsidRPr="00E46FD8">
        <w:t xml:space="preserve">Metro representatives attend vendor fairs of other agencies to provide information on how to do business with Metro, and to provide information on upcoming contracting opportunities. </w:t>
      </w:r>
    </w:p>
    <w:p w:rsidR="003F72B8" w:rsidRPr="00E46FD8" w:rsidRDefault="003F72B8" w:rsidP="003F72B8"/>
    <w:p w:rsidR="003F72B8" w:rsidRPr="00E46FD8" w:rsidRDefault="003F72B8" w:rsidP="00E46FD8">
      <w:pPr>
        <w:keepNext/>
        <w:numPr>
          <w:ilvl w:val="0"/>
          <w:numId w:val="20"/>
        </w:numPr>
        <w:spacing w:after="200" w:line="276" w:lineRule="auto"/>
        <w:contextualSpacing/>
        <w:jc w:val="left"/>
        <w:outlineLvl w:val="2"/>
        <w:rPr>
          <w:b/>
          <w:bCs/>
        </w:rPr>
      </w:pPr>
      <w:r w:rsidRPr="00E46FD8">
        <w:rPr>
          <w:b/>
          <w:bCs/>
        </w:rPr>
        <w:t>Memberships in Contracting Organizations</w:t>
      </w:r>
    </w:p>
    <w:p w:rsidR="003F72B8" w:rsidRPr="00E46FD8" w:rsidRDefault="003F72B8" w:rsidP="003F72B8">
      <w:pPr>
        <w:keepNext/>
      </w:pPr>
    </w:p>
    <w:p w:rsidR="003F72B8" w:rsidRPr="00E46FD8" w:rsidRDefault="003F72B8" w:rsidP="003F72B8">
      <w:r w:rsidRPr="00E46FD8">
        <w:t>Metro is a member of various contracting organizations, and attends membership meetings and membership events to provide information on how to register as a Metro vendor and become SBE or DBE certified.</w:t>
      </w:r>
    </w:p>
    <w:p w:rsidR="003F72B8" w:rsidRPr="00E46FD8" w:rsidRDefault="003F72B8" w:rsidP="003F72B8"/>
    <w:p w:rsidR="00081848" w:rsidRPr="00E46FD8" w:rsidRDefault="00081848" w:rsidP="008941A9">
      <w:pPr>
        <w:spacing w:before="240" w:after="240" w:line="360" w:lineRule="atLeast"/>
        <w:jc w:val="left"/>
      </w:pPr>
    </w:p>
    <w:p w:rsidR="00081848" w:rsidRPr="00E46FD8" w:rsidRDefault="00081848" w:rsidP="008941A9">
      <w:pPr>
        <w:spacing w:before="240" w:after="240" w:line="360" w:lineRule="atLeast"/>
        <w:jc w:val="left"/>
        <w:rPr>
          <w:color w:val="000000"/>
        </w:rPr>
      </w:pPr>
    </w:p>
    <w:p w:rsidR="00081848" w:rsidRPr="00E46FD8" w:rsidRDefault="00081848" w:rsidP="008941A9">
      <w:pPr>
        <w:spacing w:before="240" w:after="240" w:line="360" w:lineRule="atLeast"/>
        <w:jc w:val="left"/>
        <w:rPr>
          <w:color w:val="000000"/>
        </w:rPr>
      </w:pPr>
    </w:p>
    <w:p w:rsidR="00081848" w:rsidRPr="00E46FD8" w:rsidRDefault="00081848" w:rsidP="008941A9">
      <w:pPr>
        <w:spacing w:after="200" w:line="276" w:lineRule="auto"/>
        <w:jc w:val="left"/>
      </w:pPr>
    </w:p>
    <w:bookmarkEnd w:id="68"/>
    <w:bookmarkEnd w:id="69"/>
    <w:p w:rsidR="00081848" w:rsidRPr="00E46FD8" w:rsidRDefault="00081848" w:rsidP="008941A9">
      <w:pPr>
        <w:jc w:val="left"/>
      </w:pPr>
    </w:p>
    <w:sectPr w:rsidR="00081848" w:rsidRPr="00E46FD8" w:rsidSect="00117513">
      <w:footerReference w:type="default" r:id="rId17"/>
      <w:headerReference w:type="first" r:id="rId18"/>
      <w:footnotePr>
        <w:numRestart w:val="eachSect"/>
      </w:footnotePr>
      <w:type w:val="continuous"/>
      <w:pgSz w:w="12240" w:h="15840"/>
      <w:pgMar w:top="1440" w:right="1440" w:bottom="1440" w:left="2160" w:header="720" w:footer="1008"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49" w:rsidRDefault="002F3349">
      <w:r>
        <w:separator/>
      </w:r>
    </w:p>
  </w:endnote>
  <w:endnote w:type="continuationSeparator" w:id="0">
    <w:p w:rsidR="002F3349" w:rsidRDefault="002F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wis721 BlkEx BT">
    <w:altName w:val="MS PGothic"/>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wis721BlkBT,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48" w:rsidRDefault="00081848" w:rsidP="00B556F4">
    <w:pPr>
      <w:pStyle w:val="Footer"/>
      <w:framePr w:wrap="around" w:vAnchor="text" w:hAnchor="margin" w:xAlign="right" w:y="-20"/>
      <w:rPr>
        <w:rStyle w:val="PageNumber"/>
      </w:rPr>
    </w:pPr>
    <w:r>
      <w:rPr>
        <w:rStyle w:val="PageNumber"/>
      </w:rPr>
      <w:fldChar w:fldCharType="begin"/>
    </w:r>
    <w:r>
      <w:rPr>
        <w:rStyle w:val="PageNumber"/>
      </w:rPr>
      <w:instrText xml:space="preserve">PAGE  </w:instrText>
    </w:r>
    <w:r>
      <w:rPr>
        <w:rStyle w:val="PageNumber"/>
      </w:rPr>
      <w:fldChar w:fldCharType="separate"/>
    </w:r>
    <w:r w:rsidR="00CC0111">
      <w:rPr>
        <w:rStyle w:val="PageNumber"/>
        <w:noProof/>
      </w:rPr>
      <w:t>7</w:t>
    </w:r>
    <w:r>
      <w:rPr>
        <w:rStyle w:val="PageNumber"/>
      </w:rPr>
      <w:fldChar w:fldCharType="end"/>
    </w:r>
  </w:p>
  <w:p w:rsidR="00081848" w:rsidRDefault="00081848" w:rsidP="00B556F4">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49" w:rsidRDefault="002F3349">
      <w:r>
        <w:separator/>
      </w:r>
    </w:p>
  </w:footnote>
  <w:footnote w:type="continuationSeparator" w:id="0">
    <w:p w:rsidR="002F3349" w:rsidRDefault="002F3349">
      <w:r>
        <w:continuationSeparator/>
      </w:r>
    </w:p>
  </w:footnote>
  <w:footnote w:id="1">
    <w:p w:rsidR="00081848" w:rsidRPr="004B72C0" w:rsidRDefault="00081848" w:rsidP="004B72C0">
      <w:pPr>
        <w:autoSpaceDE w:val="0"/>
        <w:autoSpaceDN w:val="0"/>
        <w:adjustRightInd w:val="0"/>
        <w:ind w:left="270" w:hanging="270"/>
        <w:jc w:val="left"/>
      </w:pPr>
      <w:r w:rsidRPr="00117513">
        <w:rPr>
          <w:rStyle w:val="FootnoteReference"/>
          <w:sz w:val="16"/>
          <w:szCs w:val="16"/>
        </w:rPr>
        <w:footnoteRef/>
      </w:r>
      <w:r w:rsidRPr="00117513">
        <w:rPr>
          <w:sz w:val="16"/>
          <w:szCs w:val="16"/>
        </w:rPr>
        <w:t xml:space="preserve"> </w:t>
      </w:r>
      <w:r w:rsidR="004B72C0">
        <w:rPr>
          <w:sz w:val="16"/>
          <w:szCs w:val="16"/>
        </w:rPr>
        <w:t xml:space="preserve">    </w:t>
      </w:r>
      <w:r w:rsidRPr="004B72C0">
        <w:rPr>
          <w:sz w:val="16"/>
          <w:szCs w:val="16"/>
        </w:rPr>
        <w:t xml:space="preserve">Effective February 28, 2011, the USDOT amended the DBE regulations set forth in 49 CFR Part 26 as described in the Federal </w:t>
      </w:r>
      <w:r w:rsidR="004B72C0" w:rsidRPr="004B72C0">
        <w:rPr>
          <w:sz w:val="16"/>
          <w:szCs w:val="16"/>
        </w:rPr>
        <w:t>Register, Volume 76, Number 19 and  Vol. 79 Thursday, No. 191 October 2, 2014 Part II Disadvantaged Business Enterprise: Program Implementation Modifications;</w:t>
      </w:r>
      <w:r w:rsidR="004B72C0">
        <w:rPr>
          <w:sz w:val="16"/>
          <w:szCs w:val="16"/>
        </w:rPr>
        <w:t xml:space="preserve">  </w:t>
      </w:r>
      <w:r w:rsidR="004B72C0" w:rsidRPr="004B72C0">
        <w:rPr>
          <w:sz w:val="16"/>
          <w:szCs w:val="16"/>
        </w:rPr>
        <w:t xml:space="preserve">49 CFR Part 26 [Docket No. </w:t>
      </w:r>
      <w:proofErr w:type="gramStart"/>
      <w:r w:rsidR="004B72C0" w:rsidRPr="004B72C0">
        <w:rPr>
          <w:sz w:val="16"/>
          <w:szCs w:val="16"/>
        </w:rPr>
        <w:t>OST-2012-0147] IN 2105-AE08.</w:t>
      </w:r>
      <w:proofErr w:type="gramEnd"/>
    </w:p>
  </w:footnote>
  <w:footnote w:id="2">
    <w:p w:rsidR="00081848" w:rsidRPr="004B72C0" w:rsidRDefault="00081848" w:rsidP="00BB08DC">
      <w:pPr>
        <w:pStyle w:val="FootnoteText"/>
        <w:tabs>
          <w:tab w:val="clear" w:pos="360"/>
          <w:tab w:val="left" w:pos="180"/>
          <w:tab w:val="left" w:pos="630"/>
        </w:tabs>
        <w:jc w:val="left"/>
        <w:rPr>
          <w:sz w:val="16"/>
          <w:szCs w:val="16"/>
        </w:rPr>
      </w:pPr>
    </w:p>
    <w:p w:rsidR="00081848" w:rsidRPr="00117513" w:rsidRDefault="00081848" w:rsidP="00BB08DC">
      <w:pPr>
        <w:tabs>
          <w:tab w:val="left" w:pos="180"/>
          <w:tab w:val="left" w:pos="360"/>
          <w:tab w:val="left" w:pos="630"/>
        </w:tabs>
        <w:spacing w:line="276" w:lineRule="auto"/>
        <w:ind w:left="288" w:hanging="288"/>
        <w:jc w:val="left"/>
        <w:rPr>
          <w:rStyle w:val="Hyperlink"/>
          <w:sz w:val="16"/>
          <w:szCs w:val="16"/>
        </w:rPr>
      </w:pPr>
      <w:r w:rsidRPr="00117513">
        <w:rPr>
          <w:rStyle w:val="FootnoteReference"/>
          <w:sz w:val="16"/>
          <w:szCs w:val="16"/>
        </w:rPr>
        <w:footnoteRef/>
      </w:r>
      <w:r w:rsidRPr="00117513">
        <w:rPr>
          <w:sz w:val="16"/>
          <w:szCs w:val="16"/>
        </w:rPr>
        <w:t xml:space="preserve"> </w:t>
      </w:r>
      <w:r w:rsidRPr="00117513">
        <w:rPr>
          <w:sz w:val="16"/>
          <w:szCs w:val="16"/>
        </w:rPr>
        <w:tab/>
      </w:r>
      <w:r w:rsidRPr="00117513">
        <w:rPr>
          <w:sz w:val="16"/>
          <w:szCs w:val="16"/>
        </w:rPr>
        <w:tab/>
        <w:t>United States</w:t>
      </w:r>
      <w:r>
        <w:rPr>
          <w:sz w:val="16"/>
          <w:szCs w:val="16"/>
        </w:rPr>
        <w:t xml:space="preserve"> Department of Transportation, </w:t>
      </w:r>
      <w:r w:rsidRPr="004C189D">
        <w:rPr>
          <w:i/>
          <w:sz w:val="16"/>
          <w:szCs w:val="16"/>
        </w:rPr>
        <w:t>Tips for Goal Setting in the Disadvantaged Business Enterprise (DBE) Program</w:t>
      </w:r>
      <w:r>
        <w:rPr>
          <w:sz w:val="16"/>
          <w:szCs w:val="16"/>
        </w:rPr>
        <w:t xml:space="preserve">, </w:t>
      </w:r>
      <w:r>
        <w:rPr>
          <w:smallCaps/>
          <w:sz w:val="16"/>
          <w:szCs w:val="16"/>
        </w:rPr>
        <w:t>U.S. Department of Transportation,</w:t>
      </w:r>
      <w:r>
        <w:rPr>
          <w:sz w:val="16"/>
          <w:szCs w:val="16"/>
        </w:rPr>
        <w:t xml:space="preserve"> May 15, 2015,</w:t>
      </w:r>
      <w:r w:rsidRPr="00117513">
        <w:rPr>
          <w:sz w:val="16"/>
          <w:szCs w:val="16"/>
        </w:rPr>
        <w:t xml:space="preserve"> </w:t>
      </w:r>
      <w:hyperlink r:id="rId1" w:history="1">
        <w:r w:rsidRPr="00117513">
          <w:rPr>
            <w:rStyle w:val="Hyperlink"/>
            <w:sz w:val="16"/>
            <w:szCs w:val="16"/>
          </w:rPr>
          <w:t>http://www.osdbu.dot.gov/DBEProgram/tips.cfm</w:t>
        </w:r>
      </w:hyperlink>
      <w:r>
        <w:rPr>
          <w:rStyle w:val="Hyperlink"/>
          <w:sz w:val="16"/>
          <w:szCs w:val="16"/>
        </w:rPr>
        <w:t>.</w:t>
      </w:r>
    </w:p>
    <w:p w:rsidR="00081848" w:rsidRDefault="00081848" w:rsidP="00BB08DC">
      <w:pPr>
        <w:tabs>
          <w:tab w:val="left" w:pos="180"/>
          <w:tab w:val="left" w:pos="360"/>
          <w:tab w:val="left" w:pos="630"/>
        </w:tabs>
        <w:spacing w:line="276" w:lineRule="auto"/>
        <w:ind w:left="288" w:hanging="288"/>
        <w:jc w:val="left"/>
      </w:pPr>
    </w:p>
  </w:footnote>
  <w:footnote w:id="3">
    <w:p w:rsidR="00081848" w:rsidRDefault="00081848" w:rsidP="00BB08DC">
      <w:pPr>
        <w:pStyle w:val="FootnoteText"/>
        <w:tabs>
          <w:tab w:val="clear" w:pos="360"/>
          <w:tab w:val="left" w:pos="-1440"/>
          <w:tab w:val="left" w:pos="-720"/>
          <w:tab w:val="left" w:pos="0"/>
          <w:tab w:val="left" w:pos="18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jc w:val="left"/>
        <w:rPr>
          <w:sz w:val="16"/>
          <w:szCs w:val="16"/>
        </w:rPr>
      </w:pPr>
      <w:r w:rsidRPr="00117513">
        <w:rPr>
          <w:sz w:val="16"/>
          <w:szCs w:val="16"/>
          <w:vertAlign w:val="superscript"/>
        </w:rPr>
        <w:footnoteRef/>
      </w:r>
      <w:r w:rsidRPr="00117513">
        <w:rPr>
          <w:sz w:val="16"/>
          <w:szCs w:val="16"/>
        </w:rPr>
        <w:t xml:space="preserve"> </w:t>
      </w:r>
      <w:r w:rsidRPr="00117513">
        <w:rPr>
          <w:sz w:val="16"/>
          <w:szCs w:val="16"/>
        </w:rPr>
        <w:tab/>
      </w:r>
      <w:r>
        <w:rPr>
          <w:sz w:val="16"/>
          <w:szCs w:val="16"/>
        </w:rPr>
        <w:tab/>
        <w:t xml:space="preserve">Participation by Disadvantaged Business Enterprises in Department of Transportation Financial Assistance Programs, </w:t>
      </w:r>
      <w:r w:rsidRPr="00117513">
        <w:rPr>
          <w:sz w:val="16"/>
          <w:szCs w:val="16"/>
        </w:rPr>
        <w:t>49 CFR Part 26, §26.51(f</w:t>
      </w:r>
      <w:proofErr w:type="gramStart"/>
      <w:r w:rsidRPr="00117513">
        <w:rPr>
          <w:sz w:val="16"/>
          <w:szCs w:val="16"/>
        </w:rPr>
        <w:t>)(</w:t>
      </w:r>
      <w:proofErr w:type="gramEnd"/>
      <w:r w:rsidRPr="00117513">
        <w:rPr>
          <w:sz w:val="16"/>
          <w:szCs w:val="16"/>
        </w:rPr>
        <w:t>1), §26.51(d)</w:t>
      </w:r>
      <w:r>
        <w:rPr>
          <w:sz w:val="16"/>
          <w:szCs w:val="16"/>
        </w:rPr>
        <w:t>.</w:t>
      </w:r>
    </w:p>
    <w:p w:rsidR="00081848" w:rsidRDefault="00081848" w:rsidP="00BB08DC">
      <w:pPr>
        <w:pStyle w:val="FootnoteText"/>
        <w:tabs>
          <w:tab w:val="clear" w:pos="360"/>
          <w:tab w:val="left" w:pos="-1440"/>
          <w:tab w:val="left" w:pos="-720"/>
          <w:tab w:val="left" w:pos="0"/>
          <w:tab w:val="left" w:pos="18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jc w:val="left"/>
      </w:pPr>
    </w:p>
  </w:footnote>
  <w:footnote w:id="4">
    <w:p w:rsidR="00081848" w:rsidRDefault="00081848" w:rsidP="00BB08DC">
      <w:pPr>
        <w:pStyle w:val="FootnoteText"/>
        <w:tabs>
          <w:tab w:val="clear" w:pos="360"/>
          <w:tab w:val="left" w:pos="180"/>
          <w:tab w:val="left" w:pos="630"/>
        </w:tabs>
        <w:ind w:left="288" w:hanging="288"/>
        <w:jc w:val="left"/>
        <w:rPr>
          <w:sz w:val="16"/>
          <w:szCs w:val="16"/>
        </w:rPr>
      </w:pPr>
      <w:r w:rsidRPr="00117513">
        <w:rPr>
          <w:rStyle w:val="FootnoteReference"/>
          <w:sz w:val="16"/>
          <w:szCs w:val="16"/>
        </w:rPr>
        <w:footnoteRef/>
      </w:r>
      <w:r w:rsidRPr="00117513">
        <w:rPr>
          <w:sz w:val="16"/>
          <w:szCs w:val="16"/>
        </w:rPr>
        <w:t xml:space="preserve"> </w:t>
      </w:r>
      <w:r w:rsidRPr="00117513">
        <w:rPr>
          <w:sz w:val="16"/>
          <w:szCs w:val="16"/>
        </w:rPr>
        <w:tab/>
      </w:r>
      <w:r>
        <w:rPr>
          <w:sz w:val="16"/>
          <w:szCs w:val="16"/>
        </w:rPr>
        <w:tab/>
      </w:r>
      <w:r w:rsidRPr="00117513">
        <w:rPr>
          <w:sz w:val="16"/>
          <w:szCs w:val="16"/>
        </w:rPr>
        <w:t>Wes</w:t>
      </w:r>
      <w:r w:rsidRPr="00117513">
        <w:rPr>
          <w:i/>
          <w:sz w:val="16"/>
          <w:szCs w:val="16"/>
        </w:rPr>
        <w:t>tern States Paving Co. v. United States &amp; Washington State Department of Transportation</w:t>
      </w:r>
      <w:r w:rsidRPr="00117513">
        <w:rPr>
          <w:sz w:val="16"/>
          <w:szCs w:val="16"/>
        </w:rPr>
        <w:t>, 407 F. 3d 983 (9</w:t>
      </w:r>
      <w:r w:rsidRPr="00117513">
        <w:rPr>
          <w:sz w:val="16"/>
          <w:szCs w:val="16"/>
          <w:vertAlign w:val="superscript"/>
        </w:rPr>
        <w:t>th</w:t>
      </w:r>
      <w:r w:rsidRPr="00117513">
        <w:rPr>
          <w:sz w:val="16"/>
          <w:szCs w:val="16"/>
        </w:rPr>
        <w:t xml:space="preserve"> Cir. 2005)</w:t>
      </w:r>
      <w:r>
        <w:rPr>
          <w:sz w:val="16"/>
          <w:szCs w:val="16"/>
        </w:rPr>
        <w:t>.</w:t>
      </w:r>
    </w:p>
    <w:p w:rsidR="00081848" w:rsidRDefault="00081848" w:rsidP="00BB08DC">
      <w:pPr>
        <w:pStyle w:val="FootnoteText"/>
        <w:tabs>
          <w:tab w:val="clear" w:pos="360"/>
          <w:tab w:val="left" w:pos="180"/>
          <w:tab w:val="left" w:pos="630"/>
        </w:tabs>
        <w:ind w:left="288" w:hanging="288"/>
        <w:jc w:val="left"/>
      </w:pPr>
    </w:p>
  </w:footnote>
  <w:footnote w:id="5">
    <w:p w:rsidR="00081848" w:rsidRPr="00117513" w:rsidRDefault="00081848" w:rsidP="004C189D">
      <w:pPr>
        <w:tabs>
          <w:tab w:val="left" w:pos="180"/>
          <w:tab w:val="left" w:pos="360"/>
          <w:tab w:val="left" w:pos="630"/>
        </w:tabs>
        <w:spacing w:line="276" w:lineRule="auto"/>
        <w:ind w:left="288" w:hanging="288"/>
        <w:jc w:val="left"/>
        <w:rPr>
          <w:rStyle w:val="Hyperlink"/>
          <w:sz w:val="16"/>
          <w:szCs w:val="16"/>
        </w:rPr>
      </w:pPr>
      <w:r w:rsidRPr="00117513">
        <w:rPr>
          <w:rStyle w:val="FootnoteReference"/>
          <w:sz w:val="16"/>
          <w:szCs w:val="16"/>
        </w:rPr>
        <w:footnoteRef/>
      </w:r>
      <w:r w:rsidRPr="00117513">
        <w:rPr>
          <w:sz w:val="16"/>
          <w:szCs w:val="16"/>
        </w:rPr>
        <w:t xml:space="preserve"> </w:t>
      </w:r>
      <w:r w:rsidRPr="00117513">
        <w:rPr>
          <w:sz w:val="16"/>
          <w:szCs w:val="16"/>
        </w:rPr>
        <w:tab/>
      </w:r>
      <w:r w:rsidRPr="00117513">
        <w:rPr>
          <w:sz w:val="16"/>
          <w:szCs w:val="16"/>
        </w:rPr>
        <w:tab/>
        <w:t>United States</w:t>
      </w:r>
      <w:r>
        <w:rPr>
          <w:sz w:val="16"/>
          <w:szCs w:val="16"/>
        </w:rPr>
        <w:t xml:space="preserve"> Department of Transportation, </w:t>
      </w:r>
      <w:r w:rsidRPr="004C189D">
        <w:rPr>
          <w:i/>
          <w:sz w:val="16"/>
          <w:szCs w:val="16"/>
        </w:rPr>
        <w:t>Tips for Goal Setting in the Disadvantaged Business Enterprise (DBE) Program</w:t>
      </w:r>
      <w:r>
        <w:rPr>
          <w:sz w:val="16"/>
          <w:szCs w:val="16"/>
        </w:rPr>
        <w:t xml:space="preserve">, </w:t>
      </w:r>
      <w:r>
        <w:rPr>
          <w:smallCaps/>
          <w:sz w:val="16"/>
          <w:szCs w:val="16"/>
        </w:rPr>
        <w:t>U.S. Department of Transportation,</w:t>
      </w:r>
      <w:r>
        <w:rPr>
          <w:sz w:val="16"/>
          <w:szCs w:val="16"/>
        </w:rPr>
        <w:t xml:space="preserve"> May 15, 2015,</w:t>
      </w:r>
      <w:r w:rsidRPr="00117513">
        <w:rPr>
          <w:sz w:val="16"/>
          <w:szCs w:val="16"/>
        </w:rPr>
        <w:t xml:space="preserve"> </w:t>
      </w:r>
      <w:hyperlink r:id="rId2" w:history="1">
        <w:r w:rsidRPr="00117513">
          <w:rPr>
            <w:rStyle w:val="Hyperlink"/>
            <w:sz w:val="16"/>
            <w:szCs w:val="16"/>
          </w:rPr>
          <w:t>http://www.osdbu.dot.gov/DBEProgram/tips.cfm</w:t>
        </w:r>
      </w:hyperlink>
      <w:r>
        <w:rPr>
          <w:rStyle w:val="Hyperlink"/>
          <w:sz w:val="16"/>
          <w:szCs w:val="16"/>
        </w:rPr>
        <w:t>.</w:t>
      </w:r>
    </w:p>
    <w:p w:rsidR="00081848" w:rsidRDefault="00081848" w:rsidP="004C189D">
      <w:pPr>
        <w:tabs>
          <w:tab w:val="left" w:pos="180"/>
          <w:tab w:val="left" w:pos="360"/>
          <w:tab w:val="left" w:pos="630"/>
        </w:tabs>
        <w:spacing w:line="276" w:lineRule="auto"/>
        <w:ind w:left="288" w:hanging="288"/>
        <w:jc w:val="left"/>
      </w:pPr>
    </w:p>
  </w:footnote>
  <w:footnote w:id="6">
    <w:p w:rsidR="00081848" w:rsidRDefault="00081848" w:rsidP="00BB08DC">
      <w:pPr>
        <w:pStyle w:val="FootnoteText"/>
        <w:tabs>
          <w:tab w:val="clear" w:pos="360"/>
          <w:tab w:val="left" w:pos="540"/>
          <w:tab w:val="left" w:pos="630"/>
        </w:tabs>
        <w:ind w:left="288" w:hanging="288"/>
        <w:jc w:val="left"/>
      </w:pPr>
      <w:r w:rsidRPr="00117513">
        <w:rPr>
          <w:rStyle w:val="FootnoteReference"/>
          <w:sz w:val="16"/>
          <w:szCs w:val="16"/>
        </w:rPr>
        <w:footnoteRef/>
      </w:r>
      <w:r w:rsidRPr="00117513">
        <w:rPr>
          <w:sz w:val="16"/>
          <w:szCs w:val="16"/>
        </w:rPr>
        <w:t xml:space="preserve"> </w:t>
      </w:r>
      <w:r w:rsidRPr="00117513">
        <w:rPr>
          <w:sz w:val="16"/>
          <w:szCs w:val="16"/>
        </w:rPr>
        <w:tab/>
        <w:t xml:space="preserve">For complete market area information, see the </w:t>
      </w:r>
      <w:r w:rsidRPr="00117513">
        <w:rPr>
          <w:i/>
          <w:sz w:val="16"/>
          <w:szCs w:val="16"/>
        </w:rPr>
        <w:t xml:space="preserve">Chapter 5: Market Area Analysis </w:t>
      </w:r>
      <w:r w:rsidRPr="00117513">
        <w:rPr>
          <w:sz w:val="16"/>
          <w:szCs w:val="16"/>
        </w:rPr>
        <w:t>in the 2012 Disadvantaged Business Enterprise (DBE) Program Disparity Study Final Report. The market area distribution for all industries can be found on page 5-11 in Table 5.06.</w:t>
      </w:r>
    </w:p>
  </w:footnote>
  <w:footnote w:id="7">
    <w:p w:rsidR="00081848" w:rsidRDefault="00081848" w:rsidP="00BB08DC">
      <w:pPr>
        <w:pStyle w:val="FootnoteText"/>
        <w:ind w:left="288" w:hanging="288"/>
      </w:pPr>
      <w:r w:rsidRPr="00117513">
        <w:rPr>
          <w:rStyle w:val="FootnoteReference"/>
          <w:sz w:val="16"/>
          <w:szCs w:val="16"/>
        </w:rPr>
        <w:footnoteRef/>
      </w:r>
      <w:r w:rsidRPr="00117513">
        <w:rPr>
          <w:sz w:val="16"/>
          <w:szCs w:val="16"/>
        </w:rPr>
        <w:t xml:space="preserve"> </w:t>
      </w:r>
      <w:r w:rsidRPr="00117513">
        <w:rPr>
          <w:sz w:val="16"/>
          <w:szCs w:val="16"/>
        </w:rPr>
        <w:tab/>
        <w:t>The availability analysis for goal setting was predicated on businesses in the NAICS codes for anticipated projects only, whereas the 2012 Disadvantaged Business Enterprise (DBE) Program Disparity Study Final Report enumerates the availability of all businesses in the market area.</w:t>
      </w:r>
    </w:p>
  </w:footnote>
  <w:footnote w:id="8">
    <w:p w:rsidR="00081848" w:rsidRPr="00117513" w:rsidRDefault="00081848" w:rsidP="00BB08DC">
      <w:pPr>
        <w:pStyle w:val="FootnoteText"/>
        <w:tabs>
          <w:tab w:val="left" w:pos="-1440"/>
          <w:tab w:val="left" w:pos="-720"/>
          <w:tab w:val="left" w:pos="18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jc w:val="left"/>
        <w:rPr>
          <w:sz w:val="16"/>
          <w:szCs w:val="16"/>
        </w:rPr>
      </w:pPr>
      <w:r w:rsidRPr="00117513">
        <w:rPr>
          <w:sz w:val="16"/>
          <w:szCs w:val="16"/>
          <w:vertAlign w:val="superscript"/>
        </w:rPr>
        <w:footnoteRef/>
      </w:r>
      <w:r w:rsidRPr="00117513">
        <w:rPr>
          <w:i/>
          <w:sz w:val="16"/>
          <w:szCs w:val="16"/>
        </w:rPr>
        <w:tab/>
      </w:r>
      <w:r w:rsidRPr="00117513">
        <w:rPr>
          <w:i/>
          <w:sz w:val="16"/>
          <w:szCs w:val="16"/>
        </w:rPr>
        <w:tab/>
        <w:t>Concrete Works of Colo., Inc. v. City of Denver</w:t>
      </w:r>
      <w:r w:rsidRPr="00117513">
        <w:rPr>
          <w:sz w:val="16"/>
          <w:szCs w:val="16"/>
        </w:rPr>
        <w:t>, 86 F. Supp</w:t>
      </w:r>
      <w:r>
        <w:rPr>
          <w:sz w:val="16"/>
          <w:szCs w:val="16"/>
        </w:rPr>
        <w:t>. 2d 1042, 1073 (D. Colo. 2000);</w:t>
      </w:r>
      <w:r w:rsidRPr="00117513">
        <w:rPr>
          <w:sz w:val="16"/>
          <w:szCs w:val="16"/>
        </w:rPr>
        <w:t xml:space="preserve"> </w:t>
      </w:r>
      <w:proofErr w:type="spellStart"/>
      <w:r w:rsidRPr="00117513">
        <w:rPr>
          <w:sz w:val="16"/>
          <w:szCs w:val="16"/>
        </w:rPr>
        <w:t>rev'd</w:t>
      </w:r>
      <w:proofErr w:type="spellEnd"/>
      <w:r w:rsidRPr="00117513">
        <w:rPr>
          <w:sz w:val="16"/>
          <w:szCs w:val="16"/>
        </w:rPr>
        <w:t xml:space="preserve"> on other grounds</w:t>
      </w:r>
      <w:r>
        <w:rPr>
          <w:sz w:val="16"/>
          <w:szCs w:val="16"/>
        </w:rPr>
        <w:t>, 321 F.3d 950 (10th Cir. 2003);</w:t>
      </w:r>
      <w:r w:rsidRPr="00117513">
        <w:rPr>
          <w:sz w:val="16"/>
          <w:szCs w:val="16"/>
        </w:rPr>
        <w:t xml:space="preserve"> </w:t>
      </w:r>
      <w:r w:rsidRPr="004C189D">
        <w:rPr>
          <w:i/>
          <w:sz w:val="16"/>
          <w:szCs w:val="16"/>
        </w:rPr>
        <w:t>cert. denied</w:t>
      </w:r>
      <w:r w:rsidRPr="00117513">
        <w:rPr>
          <w:sz w:val="16"/>
          <w:szCs w:val="16"/>
        </w:rPr>
        <w:t>, 540 U.S. 1027 (2003).</w:t>
      </w:r>
    </w:p>
    <w:p w:rsidR="00081848" w:rsidRDefault="00081848" w:rsidP="00BB08DC">
      <w:pPr>
        <w:pStyle w:val="FootnoteText"/>
        <w:tabs>
          <w:tab w:val="left" w:pos="-1440"/>
          <w:tab w:val="left" w:pos="-720"/>
          <w:tab w:val="left" w:pos="18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jc w:val="left"/>
      </w:pPr>
    </w:p>
  </w:footnote>
  <w:footnote w:id="9">
    <w:p w:rsidR="00081848" w:rsidRDefault="00081848" w:rsidP="00DB4EB3">
      <w:pPr>
        <w:pStyle w:val="FootnoteText"/>
        <w:tabs>
          <w:tab w:val="clear" w:pos="360"/>
          <w:tab w:val="left" w:pos="270"/>
        </w:tabs>
        <w:ind w:left="270" w:hanging="270"/>
        <w:jc w:val="left"/>
      </w:pPr>
      <w:r w:rsidRPr="00117513">
        <w:rPr>
          <w:rStyle w:val="FootnoteReference"/>
          <w:sz w:val="16"/>
          <w:szCs w:val="16"/>
        </w:rPr>
        <w:footnoteRef/>
      </w:r>
      <w:r w:rsidRPr="00117513">
        <w:rPr>
          <w:sz w:val="16"/>
          <w:szCs w:val="16"/>
        </w:rPr>
        <w:t xml:space="preserve"> </w:t>
      </w:r>
      <w:r w:rsidRPr="00117513">
        <w:rPr>
          <w:sz w:val="16"/>
          <w:szCs w:val="16"/>
        </w:rPr>
        <w:tab/>
        <w:t xml:space="preserve">For the complete disparity analysis findings, see </w:t>
      </w:r>
      <w:r w:rsidRPr="00117513">
        <w:rPr>
          <w:i/>
          <w:sz w:val="16"/>
          <w:szCs w:val="16"/>
        </w:rPr>
        <w:t>Chapter 9: Disparity Analysis</w:t>
      </w:r>
      <w:r w:rsidRPr="00117513">
        <w:rPr>
          <w:sz w:val="16"/>
          <w:szCs w:val="16"/>
        </w:rPr>
        <w:t xml:space="preserve"> in the 2012 Disadvantaged Business Enterprise (DBE) Program Disparity Study Final Report.</w:t>
      </w:r>
    </w:p>
  </w:footnote>
  <w:footnote w:id="10">
    <w:p w:rsidR="003F72B8" w:rsidRDefault="003F72B8" w:rsidP="003F72B8">
      <w:pPr>
        <w:pStyle w:val="FootnoteText"/>
        <w:tabs>
          <w:tab w:val="left" w:pos="180"/>
          <w:tab w:val="left" w:pos="630"/>
        </w:tabs>
        <w:ind w:left="288" w:hanging="288"/>
        <w:rPr>
          <w:rStyle w:val="Hyperlink"/>
          <w:sz w:val="16"/>
          <w:szCs w:val="16"/>
        </w:rPr>
      </w:pPr>
      <w:r>
        <w:rPr>
          <w:sz w:val="16"/>
          <w:szCs w:val="16"/>
        </w:rPr>
        <w:t>1</w:t>
      </w:r>
      <w:r w:rsidRPr="00AC6AD1">
        <w:rPr>
          <w:sz w:val="16"/>
          <w:szCs w:val="16"/>
        </w:rPr>
        <w:tab/>
      </w:r>
      <w:r w:rsidRPr="00AC6AD1">
        <w:rPr>
          <w:sz w:val="16"/>
          <w:szCs w:val="16"/>
        </w:rPr>
        <w:tab/>
      </w:r>
      <w:r w:rsidRPr="00AC6AD1">
        <w:rPr>
          <w:color w:val="000000"/>
          <w:sz w:val="16"/>
          <w:szCs w:val="16"/>
          <w:shd w:val="clear" w:color="auto" w:fill="FFFFFF"/>
        </w:rPr>
        <w:t xml:space="preserve">Los Angeles County Metropolitan Transportation Authority, </w:t>
      </w:r>
      <w:r w:rsidRPr="00AC6AD1">
        <w:rPr>
          <w:bCs/>
          <w:color w:val="000000"/>
          <w:sz w:val="16"/>
          <w:szCs w:val="16"/>
        </w:rPr>
        <w:t xml:space="preserve">Small Business Enterprise (SBE), </w:t>
      </w:r>
      <w:hyperlink r:id="rId3" w:history="1">
        <w:r w:rsidRPr="00AC6AD1">
          <w:rPr>
            <w:rStyle w:val="Hyperlink"/>
            <w:sz w:val="16"/>
            <w:szCs w:val="16"/>
          </w:rPr>
          <w:t>http://www.metro.net/about/deod/sbe/</w:t>
        </w:r>
      </w:hyperlink>
    </w:p>
    <w:p w:rsidR="003F72B8" w:rsidRPr="00AC6AD1" w:rsidRDefault="003F72B8" w:rsidP="003F72B8">
      <w:pPr>
        <w:pStyle w:val="FootnoteText"/>
        <w:tabs>
          <w:tab w:val="left" w:pos="180"/>
          <w:tab w:val="left" w:pos="630"/>
        </w:tabs>
        <w:ind w:left="288" w:hanging="288"/>
        <w:rPr>
          <w:sz w:val="16"/>
          <w:szCs w:val="16"/>
        </w:rPr>
      </w:pPr>
      <w:r w:rsidRPr="008941A9">
        <w:rPr>
          <w:color w:val="000000"/>
          <w:sz w:val="16"/>
          <w:szCs w:val="16"/>
          <w:shd w:val="clear" w:color="auto" w:fill="FFFFFF"/>
        </w:rPr>
        <w:t>2</w:t>
      </w:r>
      <w:r w:rsidRPr="00AC6AD1">
        <w:rPr>
          <w:color w:val="000000"/>
          <w:sz w:val="16"/>
          <w:szCs w:val="16"/>
          <w:shd w:val="clear" w:color="auto" w:fill="FFFFFF"/>
        </w:rPr>
        <w:tab/>
      </w:r>
      <w:r w:rsidRPr="00AC6AD1">
        <w:rPr>
          <w:color w:val="000000"/>
          <w:sz w:val="16"/>
          <w:szCs w:val="16"/>
          <w:shd w:val="clear" w:color="auto" w:fill="FFFFFF"/>
        </w:rPr>
        <w:tab/>
        <w:t xml:space="preserve">Los Angeles County Metropolitan Transportation Authority, </w:t>
      </w:r>
      <w:r w:rsidRPr="00AC6AD1">
        <w:rPr>
          <w:color w:val="000000"/>
          <w:sz w:val="16"/>
          <w:szCs w:val="16"/>
        </w:rPr>
        <w:t xml:space="preserve">Transportation Business Advisory Council (TBAC), </w:t>
      </w:r>
      <w:hyperlink r:id="rId4" w:history="1">
        <w:r w:rsidRPr="00AC6AD1">
          <w:rPr>
            <w:rStyle w:val="Hyperlink"/>
            <w:sz w:val="16"/>
            <w:szCs w:val="16"/>
          </w:rPr>
          <w:t>http://www.metro.net/about/deod/tbac/</w:t>
        </w:r>
      </w:hyperlink>
    </w:p>
    <w:p w:rsidR="003F72B8" w:rsidRDefault="003F72B8" w:rsidP="003F72B8">
      <w:pPr>
        <w:pStyle w:val="FootnoteText"/>
        <w:tabs>
          <w:tab w:val="left" w:pos="180"/>
          <w:tab w:val="left" w:pos="630"/>
        </w:tabs>
        <w:ind w:left="288" w:hanging="288"/>
      </w:pPr>
    </w:p>
  </w:footnote>
  <w:footnote w:id="11">
    <w:p w:rsidR="003F72B8" w:rsidRDefault="003F72B8" w:rsidP="003F72B8">
      <w:pPr>
        <w:pStyle w:val="Heading1"/>
        <w:numPr>
          <w:ilvl w:val="0"/>
          <w:numId w:val="0"/>
        </w:numPr>
        <w:shd w:val="clear" w:color="auto" w:fill="FFFFFF"/>
        <w:tabs>
          <w:tab w:val="left" w:pos="180"/>
          <w:tab w:val="left" w:pos="630"/>
        </w:tabs>
        <w:spacing w:before="90" w:after="15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48" w:rsidRDefault="00E46FD8">
    <w:pPr>
      <w:pStyle w:val="Header"/>
    </w:pPr>
    <w:r>
      <w:rPr>
        <w:noProof/>
      </w:rPr>
      <w:drawing>
        <wp:inline distT="0" distB="0" distL="0" distR="0">
          <wp:extent cx="5943600"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861"/>
    <w:multiLevelType w:val="multilevel"/>
    <w:tmpl w:val="6956A0C4"/>
    <w:lvl w:ilvl="0">
      <w:start w:val="1"/>
      <w:numFmt w:val="upperRoman"/>
      <w:pStyle w:val="MTAHeading1"/>
      <w:lvlText w:val="%1."/>
      <w:lvlJc w:val="left"/>
      <w:pPr>
        <w:tabs>
          <w:tab w:val="num" w:pos="0"/>
        </w:tabs>
        <w:ind w:hanging="720"/>
      </w:pPr>
      <w:rPr>
        <w:rFonts w:ascii="Swis721 BlkEx BT" w:hAnsi="Swis721 BlkEx BT" w:cs="Times New Roman" w:hint="default"/>
        <w:b/>
        <w:i w:val="0"/>
        <w:sz w:val="28"/>
      </w:rPr>
    </w:lvl>
    <w:lvl w:ilvl="1">
      <w:start w:val="1"/>
      <w:numFmt w:val="upperLetter"/>
      <w:pStyle w:val="Heading2"/>
      <w:lvlText w:val="%2."/>
      <w:lvlJc w:val="left"/>
      <w:pPr>
        <w:tabs>
          <w:tab w:val="num" w:pos="936"/>
        </w:tabs>
        <w:ind w:left="936" w:hanging="936"/>
      </w:pPr>
      <w:rPr>
        <w:rFonts w:ascii="Swis721 BlkEx BT" w:hAnsi="Swis721 BlkEx BT" w:cs="Times New Roman" w:hint="default"/>
        <w:b/>
        <w:i w:val="0"/>
        <w:sz w:val="24"/>
      </w:rPr>
    </w:lvl>
    <w:lvl w:ilvl="2">
      <w:start w:val="1"/>
      <w:numFmt w:val="decimal"/>
      <w:pStyle w:val="Heading3"/>
      <w:lvlText w:val="%3."/>
      <w:lvlJc w:val="left"/>
      <w:pPr>
        <w:tabs>
          <w:tab w:val="num" w:pos="1721"/>
        </w:tabs>
        <w:ind w:left="1721" w:hanging="641"/>
      </w:pPr>
      <w:rPr>
        <w:rFonts w:ascii="Times New Roman" w:hAnsi="Times New Roman" w:cs="Times New Roman" w:hint="default"/>
        <w:b/>
        <w:i w:val="0"/>
        <w:sz w:val="24"/>
      </w:rPr>
    </w:lvl>
    <w:lvl w:ilvl="3">
      <w:start w:val="1"/>
      <w:numFmt w:val="lowerLetter"/>
      <w:lvlText w:val="%4."/>
      <w:lvlJc w:val="left"/>
      <w:pPr>
        <w:tabs>
          <w:tab w:val="num" w:pos="1721"/>
        </w:tabs>
        <w:ind w:left="1721" w:hanging="425"/>
      </w:pPr>
      <w:rPr>
        <w:rFonts w:ascii="Times New Roman" w:hAnsi="Times New Roman" w:cs="Times New Roman" w:hint="default"/>
        <w:b/>
        <w:i w:val="0"/>
        <w:sz w:val="24"/>
      </w:rPr>
    </w:lvl>
    <w:lvl w:ilvl="4">
      <w:start w:val="1"/>
      <w:numFmt w:val="lowerRoman"/>
      <w:pStyle w:val="Heading4"/>
      <w:lvlText w:val="%5."/>
      <w:lvlJc w:val="left"/>
      <w:pPr>
        <w:tabs>
          <w:tab w:val="num" w:pos="1296"/>
        </w:tabs>
        <w:ind w:left="1296" w:hanging="360"/>
      </w:pPr>
      <w:rPr>
        <w:rFonts w:ascii="Times New Roman" w:eastAsia="Times New Roman" w:hAnsi="Times New Roman" w:cs="Times New Roman"/>
        <w:b/>
        <w:i w:val="0"/>
        <w:caps w:val="0"/>
        <w:strike w:val="0"/>
        <w:dstrike w:val="0"/>
        <w:vanish w:val="0"/>
        <w:color w:val="auto"/>
        <w:vertAlign w:val="baseline"/>
      </w:rPr>
    </w:lvl>
    <w:lvl w:ilvl="5">
      <w:start w:val="1"/>
      <w:numFmt w:val="lowerRoman"/>
      <w:lvlText w:val="%6."/>
      <w:lvlJc w:val="right"/>
      <w:pPr>
        <w:tabs>
          <w:tab w:val="num" w:pos="2441"/>
        </w:tabs>
        <w:ind w:left="2441" w:hanging="360"/>
      </w:pPr>
      <w:rPr>
        <w:rFonts w:ascii="Times New Roman" w:hAnsi="Times New Roman" w:cs="Times New Roman" w:hint="default"/>
        <w:b/>
        <w:i w:val="0"/>
        <w:sz w:val="24"/>
        <w:szCs w:val="24"/>
      </w:rPr>
    </w:lvl>
    <w:lvl w:ilvl="6">
      <w:start w:val="1"/>
      <w:numFmt w:val="decimal"/>
      <w:lvlText w:val="%7."/>
      <w:lvlJc w:val="left"/>
      <w:pPr>
        <w:tabs>
          <w:tab w:val="num" w:pos="2801"/>
        </w:tabs>
        <w:ind w:left="2801" w:hanging="360"/>
      </w:pPr>
      <w:rPr>
        <w:rFonts w:cs="Times New Roman" w:hint="default"/>
      </w:rPr>
    </w:lvl>
    <w:lvl w:ilvl="7">
      <w:start w:val="1"/>
      <w:numFmt w:val="lowerLetter"/>
      <w:lvlText w:val="%8."/>
      <w:lvlJc w:val="left"/>
      <w:pPr>
        <w:tabs>
          <w:tab w:val="num" w:pos="3161"/>
        </w:tabs>
        <w:ind w:left="3161" w:hanging="360"/>
      </w:pPr>
      <w:rPr>
        <w:rFonts w:cs="Times New Roman" w:hint="default"/>
      </w:rPr>
    </w:lvl>
    <w:lvl w:ilvl="8">
      <w:start w:val="1"/>
      <w:numFmt w:val="lowerRoman"/>
      <w:lvlText w:val="%9."/>
      <w:lvlJc w:val="left"/>
      <w:pPr>
        <w:tabs>
          <w:tab w:val="num" w:pos="3521"/>
        </w:tabs>
        <w:ind w:left="3521" w:hanging="360"/>
      </w:pPr>
      <w:rPr>
        <w:rFonts w:ascii="Times New Roman" w:hAnsi="Times New Roman" w:cs="Times New Roman" w:hint="default"/>
        <w:sz w:val="24"/>
      </w:rPr>
    </w:lvl>
  </w:abstractNum>
  <w:abstractNum w:abstractNumId="1">
    <w:nsid w:val="08C36469"/>
    <w:multiLevelType w:val="hybridMultilevel"/>
    <w:tmpl w:val="E35CD2FA"/>
    <w:lvl w:ilvl="0" w:tplc="75420212">
      <w:start w:val="1"/>
      <w:numFmt w:val="bullet"/>
      <w:pStyle w:val="Heading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F4D42"/>
    <w:multiLevelType w:val="multilevel"/>
    <w:tmpl w:val="DFE28FA0"/>
    <w:lvl w:ilvl="0">
      <w:start w:val="1"/>
      <w:numFmt w:val="none"/>
      <w:pStyle w:val="Heading1"/>
      <w:lvlText w:val="Chapter 1:"/>
      <w:lvlJc w:val="left"/>
      <w:pPr>
        <w:tabs>
          <w:tab w:val="num" w:pos="3960"/>
        </w:tabs>
        <w:ind w:left="1368" w:hanging="648"/>
      </w:pPr>
      <w:rPr>
        <w:rFonts w:ascii="Swis721 BlkEx BT" w:hAnsi="Swis721 BlkEx BT" w:cs="Times New Roman" w:hint="default"/>
        <w:b w:val="0"/>
        <w:bCs w:val="0"/>
        <w:i/>
        <w:iCs w:val="0"/>
        <w:caps/>
        <w:strike w:val="0"/>
        <w:dstrike w:val="0"/>
        <w:vanish w:val="0"/>
        <w:color w:val="000000"/>
        <w:spacing w:val="0"/>
        <w:kern w:val="0"/>
        <w:position w:val="0"/>
        <w:sz w:val="40"/>
        <w:szCs w:val="40"/>
        <w:u w:val="none"/>
        <w:vertAlign w:val="baseline"/>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
    <w:nsid w:val="20F17359"/>
    <w:multiLevelType w:val="hybridMultilevel"/>
    <w:tmpl w:val="90B02706"/>
    <w:lvl w:ilvl="0" w:tplc="D4EC2330">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nsid w:val="2FD06E8F"/>
    <w:multiLevelType w:val="hybridMultilevel"/>
    <w:tmpl w:val="5540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34421"/>
    <w:multiLevelType w:val="hybridMultilevel"/>
    <w:tmpl w:val="CEF8B2A0"/>
    <w:lvl w:ilvl="0" w:tplc="D4EC2330">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6">
    <w:nsid w:val="437532E8"/>
    <w:multiLevelType w:val="hybridMultilevel"/>
    <w:tmpl w:val="3C12E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70B9C"/>
    <w:multiLevelType w:val="hybridMultilevel"/>
    <w:tmpl w:val="1460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2526D"/>
    <w:multiLevelType w:val="hybridMultilevel"/>
    <w:tmpl w:val="C7665230"/>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nsid w:val="55195F81"/>
    <w:multiLevelType w:val="hybridMultilevel"/>
    <w:tmpl w:val="4F4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042E6"/>
    <w:multiLevelType w:val="hybridMultilevel"/>
    <w:tmpl w:val="890A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F7052"/>
    <w:multiLevelType w:val="hybridMultilevel"/>
    <w:tmpl w:val="89EC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9C70BD"/>
    <w:multiLevelType w:val="hybridMultilevel"/>
    <w:tmpl w:val="ABCAD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F159ED"/>
    <w:multiLevelType w:val="multilevel"/>
    <w:tmpl w:val="557CCA56"/>
    <w:styleLink w:val="StyleStyle2Outlinenumbered"/>
    <w:lvl w:ilvl="0">
      <w:start w:val="1"/>
      <w:numFmt w:val="none"/>
      <w:lvlText w:val="%1."/>
      <w:lvlJc w:val="left"/>
      <w:pPr>
        <w:tabs>
          <w:tab w:val="num" w:pos="0"/>
        </w:tabs>
        <w:ind w:hanging="720"/>
      </w:pPr>
      <w:rPr>
        <w:rFonts w:ascii="Swis721 BlkEx BT" w:hAnsi="Swis721 BlkEx BT" w:cs="Times New Roman" w:hint="default"/>
        <w:b/>
        <w:i/>
        <w:sz w:val="40"/>
      </w:rPr>
    </w:lvl>
    <w:lvl w:ilvl="1">
      <w:start w:val="1"/>
      <w:numFmt w:val="upperRoman"/>
      <w:lvlText w:val="%2."/>
      <w:lvlJc w:val="right"/>
      <w:pPr>
        <w:tabs>
          <w:tab w:val="num" w:pos="360"/>
        </w:tabs>
        <w:ind w:left="360" w:hanging="360"/>
      </w:pPr>
      <w:rPr>
        <w:rFonts w:ascii="Swis721 BlkEx BT" w:hAnsi="Swis721 BlkEx BT" w:cs="Times New Roman"/>
        <w:b/>
        <w:bCs/>
        <w:i/>
        <w:iCs/>
        <w:kern w:val="32"/>
        <w:sz w:val="32"/>
      </w:rPr>
    </w:lvl>
    <w:lvl w:ilvl="2">
      <w:start w:val="1"/>
      <w:numFmt w:val="upperLetter"/>
      <w:lvlText w:val="%3."/>
      <w:lvlJc w:val="left"/>
      <w:pPr>
        <w:tabs>
          <w:tab w:val="num" w:pos="1361"/>
        </w:tabs>
        <w:ind w:left="1361" w:hanging="360"/>
      </w:pPr>
      <w:rPr>
        <w:rFonts w:ascii="Times New Roman" w:hAnsi="Times New Roman" w:cs="Times New Roman" w:hint="default"/>
        <w:b/>
        <w:i w:val="0"/>
        <w:sz w:val="28"/>
      </w:rPr>
    </w:lvl>
    <w:lvl w:ilvl="3">
      <w:start w:val="1"/>
      <w:numFmt w:val="lowerLetter"/>
      <w:lvlText w:val="%4."/>
      <w:lvlJc w:val="left"/>
      <w:pPr>
        <w:tabs>
          <w:tab w:val="num" w:pos="1721"/>
        </w:tabs>
        <w:ind w:left="1721" w:hanging="425"/>
      </w:pPr>
      <w:rPr>
        <w:rFonts w:ascii="Times New Roman" w:hAnsi="Times New Roman" w:cs="Times New Roman" w:hint="default"/>
        <w:b/>
        <w:i w:val="0"/>
        <w:sz w:val="24"/>
      </w:rPr>
    </w:lvl>
    <w:lvl w:ilvl="4">
      <w:start w:val="1"/>
      <w:numFmt w:val="lowerRoman"/>
      <w:lvlText w:val="%5"/>
      <w:lvlJc w:val="left"/>
      <w:pPr>
        <w:tabs>
          <w:tab w:val="num" w:pos="1296"/>
        </w:tabs>
        <w:ind w:left="1296" w:hanging="360"/>
      </w:pPr>
      <w:rPr>
        <w:rFonts w:ascii="Times New Roman" w:hAnsi="Times New Roman" w:cs="Times New Roman" w:hint="default"/>
        <w:b w:val="0"/>
        <w:i w:val="0"/>
        <w:caps w:val="0"/>
        <w:strike w:val="0"/>
        <w:dstrike w:val="0"/>
        <w:vanish w:val="0"/>
        <w:color w:val="auto"/>
        <w:sz w:val="24"/>
        <w:vertAlign w:val="baseline"/>
      </w:rPr>
    </w:lvl>
    <w:lvl w:ilvl="5">
      <w:start w:val="1"/>
      <w:numFmt w:val="lowerRoman"/>
      <w:lvlText w:val="(%6)"/>
      <w:lvlJc w:val="left"/>
      <w:pPr>
        <w:tabs>
          <w:tab w:val="num" w:pos="2441"/>
        </w:tabs>
        <w:ind w:left="2441" w:hanging="360"/>
      </w:pPr>
      <w:rPr>
        <w:rFonts w:cs="Times New Roman" w:hint="default"/>
      </w:rPr>
    </w:lvl>
    <w:lvl w:ilvl="6">
      <w:start w:val="1"/>
      <w:numFmt w:val="decimal"/>
      <w:lvlText w:val="%7."/>
      <w:lvlJc w:val="left"/>
      <w:pPr>
        <w:tabs>
          <w:tab w:val="num" w:pos="2801"/>
        </w:tabs>
        <w:ind w:left="2801" w:hanging="360"/>
      </w:pPr>
      <w:rPr>
        <w:rFonts w:cs="Times New Roman" w:hint="default"/>
      </w:rPr>
    </w:lvl>
    <w:lvl w:ilvl="7">
      <w:start w:val="1"/>
      <w:numFmt w:val="lowerLetter"/>
      <w:lvlText w:val="%8."/>
      <w:lvlJc w:val="left"/>
      <w:pPr>
        <w:tabs>
          <w:tab w:val="num" w:pos="3161"/>
        </w:tabs>
        <w:ind w:left="3161" w:hanging="360"/>
      </w:pPr>
      <w:rPr>
        <w:rFonts w:cs="Times New Roman" w:hint="default"/>
      </w:rPr>
    </w:lvl>
    <w:lvl w:ilvl="8">
      <w:start w:val="1"/>
      <w:numFmt w:val="lowerRoman"/>
      <w:lvlText w:val="%9."/>
      <w:lvlJc w:val="left"/>
      <w:pPr>
        <w:tabs>
          <w:tab w:val="num" w:pos="3521"/>
        </w:tabs>
        <w:ind w:left="3521" w:hanging="360"/>
      </w:pPr>
      <w:rPr>
        <w:rFonts w:cs="Times New Roman" w:hint="default"/>
      </w:rPr>
    </w:lvl>
  </w:abstractNum>
  <w:abstractNum w:abstractNumId="14">
    <w:nsid w:val="79BB4A81"/>
    <w:multiLevelType w:val="hybridMultilevel"/>
    <w:tmpl w:val="DC32E83C"/>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F32684D"/>
    <w:multiLevelType w:val="hybridMultilevel"/>
    <w:tmpl w:val="99CA5936"/>
    <w:lvl w:ilvl="0" w:tplc="C5A257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1"/>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8"/>
  </w:num>
  <w:num w:numId="11">
    <w:abstractNumId w:val="12"/>
  </w:num>
  <w:num w:numId="12">
    <w:abstractNumId w:val="7"/>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3"/>
  </w:num>
  <w:num w:numId="17">
    <w:abstractNumId w:val="14"/>
  </w:num>
  <w:num w:numId="18">
    <w:abstractNumId w:val="5"/>
  </w:num>
  <w:num w:numId="19">
    <w:abstractNumId w:val="6"/>
  </w:num>
  <w:num w:numId="2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17"/>
    <w:rsid w:val="00005BF8"/>
    <w:rsid w:val="00013D08"/>
    <w:rsid w:val="00026219"/>
    <w:rsid w:val="00032AF4"/>
    <w:rsid w:val="00040AF2"/>
    <w:rsid w:val="0004650A"/>
    <w:rsid w:val="00055B1E"/>
    <w:rsid w:val="00072ABB"/>
    <w:rsid w:val="00073525"/>
    <w:rsid w:val="00081848"/>
    <w:rsid w:val="00087A33"/>
    <w:rsid w:val="000A3DD6"/>
    <w:rsid w:val="000A7813"/>
    <w:rsid w:val="000C2A3B"/>
    <w:rsid w:val="000C2DC4"/>
    <w:rsid w:val="000D1207"/>
    <w:rsid w:val="000D204C"/>
    <w:rsid w:val="000E1F84"/>
    <w:rsid w:val="000E2105"/>
    <w:rsid w:val="000F098C"/>
    <w:rsid w:val="000F1202"/>
    <w:rsid w:val="000F5AD9"/>
    <w:rsid w:val="00107B35"/>
    <w:rsid w:val="001126C5"/>
    <w:rsid w:val="00117513"/>
    <w:rsid w:val="00121AAA"/>
    <w:rsid w:val="001279EA"/>
    <w:rsid w:val="00130B84"/>
    <w:rsid w:val="001347F4"/>
    <w:rsid w:val="001576E1"/>
    <w:rsid w:val="0016435A"/>
    <w:rsid w:val="00170A2D"/>
    <w:rsid w:val="00185657"/>
    <w:rsid w:val="001A2772"/>
    <w:rsid w:val="001B4D69"/>
    <w:rsid w:val="001B7231"/>
    <w:rsid w:val="001C23DA"/>
    <w:rsid w:val="002066E1"/>
    <w:rsid w:val="00211F9C"/>
    <w:rsid w:val="00215639"/>
    <w:rsid w:val="002410BE"/>
    <w:rsid w:val="002444F4"/>
    <w:rsid w:val="002525CD"/>
    <w:rsid w:val="00253B13"/>
    <w:rsid w:val="00270ACB"/>
    <w:rsid w:val="002841AD"/>
    <w:rsid w:val="00286E00"/>
    <w:rsid w:val="00294F7C"/>
    <w:rsid w:val="002A631D"/>
    <w:rsid w:val="002B24C4"/>
    <w:rsid w:val="002B752E"/>
    <w:rsid w:val="002C4830"/>
    <w:rsid w:val="002E0189"/>
    <w:rsid w:val="002E0309"/>
    <w:rsid w:val="002E355E"/>
    <w:rsid w:val="002F3349"/>
    <w:rsid w:val="002F7BA3"/>
    <w:rsid w:val="002F7D59"/>
    <w:rsid w:val="0033174B"/>
    <w:rsid w:val="00334AA4"/>
    <w:rsid w:val="00341387"/>
    <w:rsid w:val="00367825"/>
    <w:rsid w:val="00374340"/>
    <w:rsid w:val="003A2D0B"/>
    <w:rsid w:val="003B7E0B"/>
    <w:rsid w:val="003C2E42"/>
    <w:rsid w:val="003D37D0"/>
    <w:rsid w:val="003D3AE1"/>
    <w:rsid w:val="003F56B1"/>
    <w:rsid w:val="003F65BF"/>
    <w:rsid w:val="003F72B8"/>
    <w:rsid w:val="004029FE"/>
    <w:rsid w:val="00406E6D"/>
    <w:rsid w:val="00415C17"/>
    <w:rsid w:val="00420C54"/>
    <w:rsid w:val="004214E8"/>
    <w:rsid w:val="00453912"/>
    <w:rsid w:val="0046160B"/>
    <w:rsid w:val="004651D5"/>
    <w:rsid w:val="00476389"/>
    <w:rsid w:val="00496342"/>
    <w:rsid w:val="004B0813"/>
    <w:rsid w:val="004B72C0"/>
    <w:rsid w:val="004C189D"/>
    <w:rsid w:val="004C70E6"/>
    <w:rsid w:val="004D4319"/>
    <w:rsid w:val="004D6543"/>
    <w:rsid w:val="004D771B"/>
    <w:rsid w:val="0050331F"/>
    <w:rsid w:val="005056EF"/>
    <w:rsid w:val="00515F46"/>
    <w:rsid w:val="00516849"/>
    <w:rsid w:val="00517AE8"/>
    <w:rsid w:val="0052407C"/>
    <w:rsid w:val="00532F83"/>
    <w:rsid w:val="0053408C"/>
    <w:rsid w:val="00536D00"/>
    <w:rsid w:val="005626EC"/>
    <w:rsid w:val="00586B02"/>
    <w:rsid w:val="005930F8"/>
    <w:rsid w:val="005A756F"/>
    <w:rsid w:val="005B75BC"/>
    <w:rsid w:val="005C7D68"/>
    <w:rsid w:val="005D1912"/>
    <w:rsid w:val="005D1E8C"/>
    <w:rsid w:val="00603AC0"/>
    <w:rsid w:val="00607F5F"/>
    <w:rsid w:val="00626C3C"/>
    <w:rsid w:val="00635D38"/>
    <w:rsid w:val="006414C8"/>
    <w:rsid w:val="00647F0A"/>
    <w:rsid w:val="006561D1"/>
    <w:rsid w:val="00656621"/>
    <w:rsid w:val="00671F76"/>
    <w:rsid w:val="0068191E"/>
    <w:rsid w:val="00687F55"/>
    <w:rsid w:val="006A154C"/>
    <w:rsid w:val="006B7A94"/>
    <w:rsid w:val="006D0735"/>
    <w:rsid w:val="006F3C89"/>
    <w:rsid w:val="006F491F"/>
    <w:rsid w:val="007007DE"/>
    <w:rsid w:val="007068A0"/>
    <w:rsid w:val="0071242F"/>
    <w:rsid w:val="00731CED"/>
    <w:rsid w:val="00734FB3"/>
    <w:rsid w:val="00737BEB"/>
    <w:rsid w:val="00770BA1"/>
    <w:rsid w:val="0079199B"/>
    <w:rsid w:val="007A5868"/>
    <w:rsid w:val="007C3937"/>
    <w:rsid w:val="007D458C"/>
    <w:rsid w:val="007E314F"/>
    <w:rsid w:val="007E3C3E"/>
    <w:rsid w:val="007E4DC4"/>
    <w:rsid w:val="00817E60"/>
    <w:rsid w:val="00826328"/>
    <w:rsid w:val="00832FA1"/>
    <w:rsid w:val="00835964"/>
    <w:rsid w:val="00836C08"/>
    <w:rsid w:val="0084365E"/>
    <w:rsid w:val="00852FDE"/>
    <w:rsid w:val="0086020B"/>
    <w:rsid w:val="00862C2E"/>
    <w:rsid w:val="008763B6"/>
    <w:rsid w:val="008941A9"/>
    <w:rsid w:val="00896EBA"/>
    <w:rsid w:val="008A2417"/>
    <w:rsid w:val="008B0B3A"/>
    <w:rsid w:val="008E7317"/>
    <w:rsid w:val="008E73C1"/>
    <w:rsid w:val="008F05F3"/>
    <w:rsid w:val="008F1BA6"/>
    <w:rsid w:val="00905E62"/>
    <w:rsid w:val="00911657"/>
    <w:rsid w:val="009157E1"/>
    <w:rsid w:val="00916EA3"/>
    <w:rsid w:val="00931469"/>
    <w:rsid w:val="00932D64"/>
    <w:rsid w:val="009347E8"/>
    <w:rsid w:val="00935EA8"/>
    <w:rsid w:val="00936B08"/>
    <w:rsid w:val="00937DB3"/>
    <w:rsid w:val="00960A9A"/>
    <w:rsid w:val="00962457"/>
    <w:rsid w:val="00964228"/>
    <w:rsid w:val="00967F74"/>
    <w:rsid w:val="00974F0B"/>
    <w:rsid w:val="00980DD3"/>
    <w:rsid w:val="009A0F83"/>
    <w:rsid w:val="009B54A6"/>
    <w:rsid w:val="009B56F7"/>
    <w:rsid w:val="009C3680"/>
    <w:rsid w:val="009C4ABF"/>
    <w:rsid w:val="009C6F43"/>
    <w:rsid w:val="009D3ECA"/>
    <w:rsid w:val="009D6262"/>
    <w:rsid w:val="00A209A5"/>
    <w:rsid w:val="00A2548A"/>
    <w:rsid w:val="00A3290A"/>
    <w:rsid w:val="00A334C0"/>
    <w:rsid w:val="00A351DA"/>
    <w:rsid w:val="00A37E0D"/>
    <w:rsid w:val="00A44622"/>
    <w:rsid w:val="00A56222"/>
    <w:rsid w:val="00A66167"/>
    <w:rsid w:val="00A772F4"/>
    <w:rsid w:val="00A8369B"/>
    <w:rsid w:val="00A97E67"/>
    <w:rsid w:val="00AA45BF"/>
    <w:rsid w:val="00AB1BFC"/>
    <w:rsid w:val="00AB390D"/>
    <w:rsid w:val="00AB3CED"/>
    <w:rsid w:val="00AC1B52"/>
    <w:rsid w:val="00AC6AD1"/>
    <w:rsid w:val="00AD0887"/>
    <w:rsid w:val="00AE29C1"/>
    <w:rsid w:val="00AF2D2E"/>
    <w:rsid w:val="00AF3B13"/>
    <w:rsid w:val="00AF6203"/>
    <w:rsid w:val="00AF6E08"/>
    <w:rsid w:val="00B2066D"/>
    <w:rsid w:val="00B32378"/>
    <w:rsid w:val="00B35868"/>
    <w:rsid w:val="00B36282"/>
    <w:rsid w:val="00B445C0"/>
    <w:rsid w:val="00B457B7"/>
    <w:rsid w:val="00B46B0D"/>
    <w:rsid w:val="00B556F4"/>
    <w:rsid w:val="00B601AD"/>
    <w:rsid w:val="00B602AB"/>
    <w:rsid w:val="00B60D34"/>
    <w:rsid w:val="00B63B2F"/>
    <w:rsid w:val="00B707FF"/>
    <w:rsid w:val="00B83311"/>
    <w:rsid w:val="00B940A5"/>
    <w:rsid w:val="00B9704B"/>
    <w:rsid w:val="00BA439A"/>
    <w:rsid w:val="00BB08DC"/>
    <w:rsid w:val="00BC64D9"/>
    <w:rsid w:val="00BD413A"/>
    <w:rsid w:val="00BE2EE8"/>
    <w:rsid w:val="00BE5384"/>
    <w:rsid w:val="00C03828"/>
    <w:rsid w:val="00C0420E"/>
    <w:rsid w:val="00C2273F"/>
    <w:rsid w:val="00C33000"/>
    <w:rsid w:val="00C35831"/>
    <w:rsid w:val="00C40B49"/>
    <w:rsid w:val="00C53E53"/>
    <w:rsid w:val="00C54E9B"/>
    <w:rsid w:val="00C56F18"/>
    <w:rsid w:val="00C6703B"/>
    <w:rsid w:val="00C90A69"/>
    <w:rsid w:val="00CC0111"/>
    <w:rsid w:val="00CD01BF"/>
    <w:rsid w:val="00CD0E7F"/>
    <w:rsid w:val="00CE162E"/>
    <w:rsid w:val="00CE29E3"/>
    <w:rsid w:val="00CE439C"/>
    <w:rsid w:val="00CF4AEE"/>
    <w:rsid w:val="00D244B4"/>
    <w:rsid w:val="00D25F7B"/>
    <w:rsid w:val="00D30D7C"/>
    <w:rsid w:val="00D32CAF"/>
    <w:rsid w:val="00D36E6C"/>
    <w:rsid w:val="00D550A3"/>
    <w:rsid w:val="00D55C18"/>
    <w:rsid w:val="00D63409"/>
    <w:rsid w:val="00D818C4"/>
    <w:rsid w:val="00D83537"/>
    <w:rsid w:val="00D95ECF"/>
    <w:rsid w:val="00DB13B4"/>
    <w:rsid w:val="00DB4EB3"/>
    <w:rsid w:val="00E06A29"/>
    <w:rsid w:val="00E270E7"/>
    <w:rsid w:val="00E30773"/>
    <w:rsid w:val="00E30DDE"/>
    <w:rsid w:val="00E35150"/>
    <w:rsid w:val="00E430E1"/>
    <w:rsid w:val="00E46FD8"/>
    <w:rsid w:val="00E622A4"/>
    <w:rsid w:val="00E62C09"/>
    <w:rsid w:val="00E726A1"/>
    <w:rsid w:val="00E80D48"/>
    <w:rsid w:val="00E9479C"/>
    <w:rsid w:val="00EA7AF3"/>
    <w:rsid w:val="00EB2A2E"/>
    <w:rsid w:val="00EB326F"/>
    <w:rsid w:val="00ED7282"/>
    <w:rsid w:val="00ED7B56"/>
    <w:rsid w:val="00EE0FF4"/>
    <w:rsid w:val="00F043D4"/>
    <w:rsid w:val="00F227C4"/>
    <w:rsid w:val="00F22BB2"/>
    <w:rsid w:val="00F41F79"/>
    <w:rsid w:val="00F57422"/>
    <w:rsid w:val="00F57F2F"/>
    <w:rsid w:val="00F70A47"/>
    <w:rsid w:val="00F949DC"/>
    <w:rsid w:val="00FA1F6F"/>
    <w:rsid w:val="00FA558E"/>
    <w:rsid w:val="00FC2A3F"/>
    <w:rsid w:val="00FC2CC5"/>
    <w:rsid w:val="00FC45E4"/>
    <w:rsid w:val="00FD0330"/>
    <w:rsid w:val="00FE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330"/>
    <w:pPr>
      <w:jc w:val="both"/>
    </w:pPr>
    <w:rPr>
      <w:sz w:val="24"/>
      <w:szCs w:val="24"/>
    </w:rPr>
  </w:style>
  <w:style w:type="paragraph" w:styleId="Heading1">
    <w:name w:val="heading 1"/>
    <w:basedOn w:val="Normal"/>
    <w:next w:val="Normal"/>
    <w:link w:val="Heading1Char"/>
    <w:uiPriority w:val="99"/>
    <w:qFormat/>
    <w:rsid w:val="00FD0330"/>
    <w:pPr>
      <w:keepNext/>
      <w:numPr>
        <w:numId w:val="1"/>
      </w:numPr>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FD0330"/>
    <w:pPr>
      <w:keepNext/>
      <w:numPr>
        <w:ilvl w:val="1"/>
        <w:numId w:val="3"/>
      </w:numPr>
      <w:outlineLvl w:val="1"/>
    </w:pPr>
    <w:rPr>
      <w:rFonts w:ascii="Swis721 BlkEx BT" w:hAnsi="Swis721 BlkEx BT"/>
      <w:b/>
      <w:bCs/>
      <w:i/>
    </w:rPr>
  </w:style>
  <w:style w:type="paragraph" w:styleId="Heading3">
    <w:name w:val="heading 3"/>
    <w:basedOn w:val="Normal"/>
    <w:next w:val="Normal"/>
    <w:link w:val="Heading3Char"/>
    <w:uiPriority w:val="99"/>
    <w:qFormat/>
    <w:rsid w:val="00367825"/>
    <w:pPr>
      <w:keepNext/>
      <w:numPr>
        <w:ilvl w:val="2"/>
        <w:numId w:val="2"/>
      </w:numPr>
      <w:outlineLvl w:val="2"/>
    </w:pPr>
    <w:rPr>
      <w:b/>
      <w:bCs/>
    </w:rPr>
  </w:style>
  <w:style w:type="paragraph" w:styleId="Heading4">
    <w:name w:val="heading 4"/>
    <w:basedOn w:val="Normal"/>
    <w:next w:val="Normal"/>
    <w:link w:val="Heading4Char"/>
    <w:uiPriority w:val="99"/>
    <w:qFormat/>
    <w:rsid w:val="00B2066D"/>
    <w:pPr>
      <w:keepNext/>
      <w:numPr>
        <w:ilvl w:val="4"/>
        <w:numId w:val="3"/>
      </w:numPr>
      <w:tabs>
        <w:tab w:val="left" w:pos="0"/>
        <w:tab w:val="left" w:pos="720"/>
        <w:tab w:val="left" w:pos="1080"/>
        <w:tab w:val="left" w:pos="1440"/>
        <w:tab w:val="left" w:pos="2160"/>
        <w:tab w:val="right" w:leader="dot" w:pos="2520"/>
        <w:tab w:val="left" w:pos="2880"/>
        <w:tab w:val="right" w:leader="dot" w:pos="9360"/>
      </w:tabs>
      <w:ind w:hanging="216"/>
      <w:outlineLvl w:val="3"/>
    </w:pPr>
    <w:rPr>
      <w:b/>
      <w:szCs w:val="40"/>
    </w:rPr>
  </w:style>
  <w:style w:type="paragraph" w:styleId="Heading5">
    <w:name w:val="heading 5"/>
    <w:basedOn w:val="Normal"/>
    <w:next w:val="Normal"/>
    <w:link w:val="Heading5Char"/>
    <w:uiPriority w:val="99"/>
    <w:qFormat/>
    <w:rsid w:val="00B2066D"/>
    <w:pPr>
      <w:keepNext/>
      <w:ind w:left="720"/>
      <w:outlineLvl w:val="4"/>
    </w:pPr>
    <w:rPr>
      <w:i/>
      <w:iCs/>
      <w:sz w:val="28"/>
    </w:rPr>
  </w:style>
  <w:style w:type="paragraph" w:styleId="Heading6">
    <w:name w:val="heading 6"/>
    <w:basedOn w:val="Normal"/>
    <w:next w:val="Normal"/>
    <w:link w:val="Heading6Char"/>
    <w:uiPriority w:val="99"/>
    <w:qFormat/>
    <w:rsid w:val="00B2066D"/>
    <w:pPr>
      <w:keepNext/>
      <w:numPr>
        <w:numId w:val="4"/>
      </w:numPr>
      <w:outlineLvl w:val="5"/>
    </w:pPr>
  </w:style>
  <w:style w:type="paragraph" w:styleId="Heading7">
    <w:name w:val="heading 7"/>
    <w:basedOn w:val="Normal"/>
    <w:next w:val="Normal"/>
    <w:link w:val="Heading7Char"/>
    <w:uiPriority w:val="99"/>
    <w:qFormat/>
    <w:rsid w:val="00FD0330"/>
    <w:pPr>
      <w:keepNext/>
      <w:outlineLvl w:val="6"/>
    </w:pPr>
    <w:rPr>
      <w:i/>
      <w:iCs/>
      <w:sz w:val="28"/>
    </w:rPr>
  </w:style>
  <w:style w:type="paragraph" w:styleId="Heading8">
    <w:name w:val="heading 8"/>
    <w:basedOn w:val="Normal"/>
    <w:next w:val="Normal"/>
    <w:link w:val="Heading8Char"/>
    <w:uiPriority w:val="99"/>
    <w:qFormat/>
    <w:rsid w:val="00FD0330"/>
    <w:pPr>
      <w:keepNext/>
      <w:jc w:val="righ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479C"/>
    <w:rPr>
      <w:rFonts w:ascii="Arial" w:hAnsi="Arial"/>
      <w:b/>
      <w:kern w:val="32"/>
      <w:sz w:val="32"/>
    </w:rPr>
  </w:style>
  <w:style w:type="character" w:customStyle="1" w:styleId="Heading2Char">
    <w:name w:val="Heading 2 Char"/>
    <w:basedOn w:val="DefaultParagraphFont"/>
    <w:link w:val="Heading2"/>
    <w:uiPriority w:val="99"/>
    <w:locked/>
    <w:rsid w:val="00E9479C"/>
    <w:rPr>
      <w:rFonts w:ascii="Swis721 BlkEx BT" w:hAnsi="Swis721 BlkEx BT"/>
      <w:b/>
      <w:i/>
      <w:sz w:val="24"/>
    </w:rPr>
  </w:style>
  <w:style w:type="character" w:customStyle="1" w:styleId="Heading3Char">
    <w:name w:val="Heading 3 Char"/>
    <w:basedOn w:val="DefaultParagraphFont"/>
    <w:link w:val="Heading3"/>
    <w:uiPriority w:val="99"/>
    <w:locked/>
    <w:rsid w:val="00367825"/>
    <w:rPr>
      <w:b/>
      <w:sz w:val="24"/>
    </w:rPr>
  </w:style>
  <w:style w:type="character" w:customStyle="1" w:styleId="Heading4Char">
    <w:name w:val="Heading 4 Char"/>
    <w:basedOn w:val="DefaultParagraphFont"/>
    <w:link w:val="Heading4"/>
    <w:uiPriority w:val="99"/>
    <w:locked/>
    <w:rsid w:val="00E9479C"/>
    <w:rPr>
      <w:rFonts w:cs="Times New Roman"/>
      <w:b/>
      <w:sz w:val="40"/>
      <w:szCs w:val="40"/>
    </w:rPr>
  </w:style>
  <w:style w:type="character" w:customStyle="1" w:styleId="Heading5Char">
    <w:name w:val="Heading 5 Char"/>
    <w:basedOn w:val="DefaultParagraphFont"/>
    <w:link w:val="Heading5"/>
    <w:uiPriority w:val="99"/>
    <w:locked/>
    <w:rsid w:val="00E9479C"/>
    <w:rPr>
      <w:rFonts w:cs="Times New Roman"/>
      <w:i/>
      <w:iCs/>
      <w:sz w:val="24"/>
      <w:szCs w:val="24"/>
    </w:rPr>
  </w:style>
  <w:style w:type="character" w:customStyle="1" w:styleId="Heading6Char">
    <w:name w:val="Heading 6 Char"/>
    <w:basedOn w:val="DefaultParagraphFont"/>
    <w:link w:val="Heading6"/>
    <w:uiPriority w:val="9"/>
    <w:semiHidden/>
    <w:rsid w:val="00CE59A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E59A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E59A3"/>
    <w:rPr>
      <w:rFonts w:asciiTheme="minorHAnsi" w:eastAsiaTheme="minorEastAsia" w:hAnsiTheme="minorHAnsi" w:cstheme="minorBidi"/>
      <w:i/>
      <w:iCs/>
      <w:sz w:val="24"/>
      <w:szCs w:val="24"/>
    </w:rPr>
  </w:style>
  <w:style w:type="paragraph" w:styleId="Header">
    <w:name w:val="header"/>
    <w:basedOn w:val="Normal"/>
    <w:link w:val="HeaderChar"/>
    <w:uiPriority w:val="99"/>
    <w:rsid w:val="00FD0330"/>
    <w:pPr>
      <w:tabs>
        <w:tab w:val="center" w:pos="4320"/>
        <w:tab w:val="right" w:pos="8640"/>
      </w:tabs>
    </w:pPr>
  </w:style>
  <w:style w:type="character" w:customStyle="1" w:styleId="HeaderChar">
    <w:name w:val="Header Char"/>
    <w:basedOn w:val="DefaultParagraphFont"/>
    <w:link w:val="Header"/>
    <w:uiPriority w:val="99"/>
    <w:locked/>
    <w:rsid w:val="00E9479C"/>
    <w:rPr>
      <w:sz w:val="24"/>
    </w:rPr>
  </w:style>
  <w:style w:type="paragraph" w:styleId="Caption">
    <w:name w:val="caption"/>
    <w:basedOn w:val="Normal"/>
    <w:next w:val="Normal"/>
    <w:link w:val="CaptionChar"/>
    <w:uiPriority w:val="99"/>
    <w:qFormat/>
    <w:rsid w:val="004C70E6"/>
    <w:rPr>
      <w:b/>
      <w:bCs/>
      <w:sz w:val="20"/>
      <w:szCs w:val="20"/>
    </w:rPr>
  </w:style>
  <w:style w:type="paragraph" w:customStyle="1" w:styleId="ChapterTitle">
    <w:name w:val="Chapter Title"/>
    <w:basedOn w:val="Normal"/>
    <w:uiPriority w:val="99"/>
    <w:rsid w:val="00FD0330"/>
    <w:pPr>
      <w:tabs>
        <w:tab w:val="left" w:pos="-720"/>
      </w:tabs>
      <w:ind w:hanging="720"/>
    </w:pPr>
    <w:rPr>
      <w:rFonts w:ascii="Swis721 BlkEx BT" w:hAnsi="Swis721 BlkEx BT"/>
      <w:b/>
      <w:i/>
      <w:sz w:val="40"/>
    </w:rPr>
  </w:style>
  <w:style w:type="paragraph" w:styleId="Footer">
    <w:name w:val="footer"/>
    <w:basedOn w:val="Normal"/>
    <w:link w:val="FooterChar"/>
    <w:uiPriority w:val="99"/>
    <w:rsid w:val="00FD0330"/>
    <w:pPr>
      <w:tabs>
        <w:tab w:val="center" w:pos="4320"/>
        <w:tab w:val="right" w:pos="8640"/>
      </w:tabs>
    </w:pPr>
  </w:style>
  <w:style w:type="character" w:customStyle="1" w:styleId="FooterChar">
    <w:name w:val="Footer Char"/>
    <w:basedOn w:val="DefaultParagraphFont"/>
    <w:link w:val="Footer"/>
    <w:uiPriority w:val="99"/>
    <w:locked/>
    <w:rsid w:val="00E9479C"/>
    <w:rPr>
      <w:rFonts w:cs="Times New Roman"/>
      <w:sz w:val="24"/>
      <w:szCs w:val="24"/>
    </w:rPr>
  </w:style>
  <w:style w:type="character" w:styleId="PageNumber">
    <w:name w:val="page number"/>
    <w:basedOn w:val="DefaultParagraphFont"/>
    <w:uiPriority w:val="99"/>
    <w:rsid w:val="00FD0330"/>
    <w:rPr>
      <w:rFonts w:cs="Times New Roman"/>
    </w:rPr>
  </w:style>
  <w:style w:type="character" w:styleId="FootnoteReference">
    <w:name w:val="footnote reference"/>
    <w:basedOn w:val="DefaultParagraphFont"/>
    <w:uiPriority w:val="99"/>
    <w:rsid w:val="00FD0330"/>
    <w:rPr>
      <w:rFonts w:cs="Times New Roman"/>
      <w:vertAlign w:val="superscript"/>
    </w:rPr>
  </w:style>
  <w:style w:type="paragraph" w:styleId="BodyTextIndent2">
    <w:name w:val="Body Text Indent 2"/>
    <w:basedOn w:val="Normal"/>
    <w:link w:val="BodyTextIndent2Char"/>
    <w:uiPriority w:val="99"/>
    <w:rsid w:val="00FD0330"/>
    <w:pPr>
      <w:ind w:left="720"/>
    </w:pPr>
    <w:rPr>
      <w:sz w:val="28"/>
    </w:rPr>
  </w:style>
  <w:style w:type="character" w:customStyle="1" w:styleId="BodyTextIndent2Char">
    <w:name w:val="Body Text Indent 2 Char"/>
    <w:basedOn w:val="DefaultParagraphFont"/>
    <w:link w:val="BodyTextIndent2"/>
    <w:uiPriority w:val="99"/>
    <w:semiHidden/>
    <w:rsid w:val="00CE59A3"/>
    <w:rPr>
      <w:sz w:val="24"/>
      <w:szCs w:val="24"/>
    </w:rPr>
  </w:style>
  <w:style w:type="paragraph" w:styleId="BodyText">
    <w:name w:val="Body Text"/>
    <w:basedOn w:val="Normal"/>
    <w:link w:val="BodyTextChar"/>
    <w:uiPriority w:val="99"/>
    <w:rsid w:val="00FD0330"/>
    <w:rPr>
      <w:sz w:val="28"/>
    </w:rPr>
  </w:style>
  <w:style w:type="character" w:customStyle="1" w:styleId="BodyTextChar">
    <w:name w:val="Body Text Char"/>
    <w:basedOn w:val="DefaultParagraphFont"/>
    <w:link w:val="BodyText"/>
    <w:uiPriority w:val="99"/>
    <w:locked/>
    <w:rsid w:val="00E9479C"/>
    <w:rPr>
      <w:sz w:val="24"/>
    </w:rPr>
  </w:style>
  <w:style w:type="paragraph" w:styleId="BodyTextIndent">
    <w:name w:val="Body Text Indent"/>
    <w:basedOn w:val="Normal"/>
    <w:link w:val="BodyTextIndentChar"/>
    <w:uiPriority w:val="99"/>
    <w:rsid w:val="00FD0330"/>
    <w:pPr>
      <w:ind w:left="65"/>
    </w:pPr>
  </w:style>
  <w:style w:type="character" w:customStyle="1" w:styleId="BodyTextIndentChar">
    <w:name w:val="Body Text Indent Char"/>
    <w:basedOn w:val="DefaultParagraphFont"/>
    <w:link w:val="BodyTextIndent"/>
    <w:uiPriority w:val="99"/>
    <w:semiHidden/>
    <w:rsid w:val="00CE59A3"/>
    <w:rPr>
      <w:sz w:val="24"/>
      <w:szCs w:val="24"/>
    </w:rPr>
  </w:style>
  <w:style w:type="paragraph" w:styleId="FootnoteText">
    <w:name w:val="footnote text"/>
    <w:basedOn w:val="Normal"/>
    <w:link w:val="FootnoteTextChar"/>
    <w:qFormat/>
    <w:rsid w:val="00FD0330"/>
    <w:pPr>
      <w:tabs>
        <w:tab w:val="left" w:pos="360"/>
      </w:tabs>
      <w:ind w:left="144" w:hanging="144"/>
    </w:pPr>
    <w:rPr>
      <w:sz w:val="20"/>
      <w:szCs w:val="20"/>
    </w:rPr>
  </w:style>
  <w:style w:type="character" w:customStyle="1" w:styleId="FootnoteTextChar">
    <w:name w:val="Footnote Text Char"/>
    <w:basedOn w:val="DefaultParagraphFont"/>
    <w:link w:val="FootnoteText"/>
    <w:locked/>
    <w:rsid w:val="00E9479C"/>
    <w:rPr>
      <w:rFonts w:cs="Times New Roman"/>
    </w:rPr>
  </w:style>
  <w:style w:type="paragraph" w:styleId="TOC1">
    <w:name w:val="toc 1"/>
    <w:basedOn w:val="Normal"/>
    <w:next w:val="Normal"/>
    <w:autoRedefine/>
    <w:uiPriority w:val="99"/>
    <w:rsid w:val="00E06A29"/>
    <w:pPr>
      <w:tabs>
        <w:tab w:val="left" w:pos="2006"/>
        <w:tab w:val="right" w:leader="dot" w:pos="8630"/>
      </w:tabs>
      <w:spacing w:before="120" w:after="120"/>
      <w:jc w:val="left"/>
    </w:pPr>
    <w:rPr>
      <w:b/>
      <w:i/>
      <w:caps/>
      <w:noProof/>
      <w:color w:val="000000"/>
    </w:rPr>
  </w:style>
  <w:style w:type="paragraph" w:styleId="TOC2">
    <w:name w:val="toc 2"/>
    <w:basedOn w:val="Normal"/>
    <w:next w:val="Normal"/>
    <w:autoRedefine/>
    <w:uiPriority w:val="99"/>
    <w:rsid w:val="00AA45BF"/>
    <w:pPr>
      <w:ind w:left="240"/>
      <w:jc w:val="left"/>
    </w:pPr>
    <w:rPr>
      <w:rFonts w:ascii="Calibri" w:hAnsi="Calibri" w:cs="Calibri"/>
      <w:smallCaps/>
      <w:sz w:val="20"/>
      <w:szCs w:val="20"/>
    </w:rPr>
  </w:style>
  <w:style w:type="paragraph" w:styleId="TOC3">
    <w:name w:val="toc 3"/>
    <w:basedOn w:val="Normal"/>
    <w:next w:val="Normal"/>
    <w:autoRedefine/>
    <w:uiPriority w:val="99"/>
    <w:rsid w:val="00FD0330"/>
    <w:pPr>
      <w:ind w:left="480"/>
      <w:jc w:val="left"/>
    </w:pPr>
    <w:rPr>
      <w:rFonts w:ascii="Calibri" w:hAnsi="Calibri" w:cs="Calibri"/>
      <w:i/>
      <w:iCs/>
      <w:sz w:val="20"/>
      <w:szCs w:val="20"/>
    </w:rPr>
  </w:style>
  <w:style w:type="paragraph" w:styleId="TOC4">
    <w:name w:val="toc 4"/>
    <w:basedOn w:val="Normal"/>
    <w:next w:val="Normal"/>
    <w:autoRedefine/>
    <w:uiPriority w:val="99"/>
    <w:rsid w:val="00FD0330"/>
    <w:pPr>
      <w:ind w:left="720"/>
      <w:jc w:val="left"/>
    </w:pPr>
    <w:rPr>
      <w:rFonts w:ascii="Calibri" w:hAnsi="Calibri" w:cs="Calibri"/>
      <w:sz w:val="18"/>
      <w:szCs w:val="18"/>
    </w:rPr>
  </w:style>
  <w:style w:type="paragraph" w:styleId="TOC5">
    <w:name w:val="toc 5"/>
    <w:basedOn w:val="Normal"/>
    <w:next w:val="Normal"/>
    <w:autoRedefine/>
    <w:uiPriority w:val="99"/>
    <w:rsid w:val="00FD0330"/>
    <w:pPr>
      <w:ind w:left="960"/>
      <w:jc w:val="left"/>
    </w:pPr>
    <w:rPr>
      <w:rFonts w:ascii="Calibri" w:hAnsi="Calibri" w:cs="Calibri"/>
      <w:sz w:val="18"/>
      <w:szCs w:val="18"/>
    </w:rPr>
  </w:style>
  <w:style w:type="paragraph" w:styleId="TOC6">
    <w:name w:val="toc 6"/>
    <w:basedOn w:val="Normal"/>
    <w:next w:val="Normal"/>
    <w:autoRedefine/>
    <w:uiPriority w:val="99"/>
    <w:rsid w:val="00FD0330"/>
    <w:pPr>
      <w:ind w:left="1200"/>
      <w:jc w:val="left"/>
    </w:pPr>
    <w:rPr>
      <w:rFonts w:ascii="Calibri" w:hAnsi="Calibri" w:cs="Calibri"/>
      <w:sz w:val="18"/>
      <w:szCs w:val="18"/>
    </w:rPr>
  </w:style>
  <w:style w:type="paragraph" w:styleId="TOC7">
    <w:name w:val="toc 7"/>
    <w:basedOn w:val="Normal"/>
    <w:next w:val="Normal"/>
    <w:autoRedefine/>
    <w:uiPriority w:val="99"/>
    <w:rsid w:val="00FD0330"/>
    <w:pPr>
      <w:ind w:left="1440"/>
      <w:jc w:val="left"/>
    </w:pPr>
    <w:rPr>
      <w:rFonts w:ascii="Calibri" w:hAnsi="Calibri" w:cs="Calibri"/>
      <w:sz w:val="18"/>
      <w:szCs w:val="18"/>
    </w:rPr>
  </w:style>
  <w:style w:type="paragraph" w:styleId="TOC8">
    <w:name w:val="toc 8"/>
    <w:basedOn w:val="Normal"/>
    <w:next w:val="Normal"/>
    <w:autoRedefine/>
    <w:uiPriority w:val="99"/>
    <w:rsid w:val="00FD0330"/>
    <w:pPr>
      <w:ind w:left="1680"/>
      <w:jc w:val="left"/>
    </w:pPr>
    <w:rPr>
      <w:rFonts w:ascii="Calibri" w:hAnsi="Calibri" w:cs="Calibri"/>
      <w:sz w:val="18"/>
      <w:szCs w:val="18"/>
    </w:rPr>
  </w:style>
  <w:style w:type="paragraph" w:styleId="TOC9">
    <w:name w:val="toc 9"/>
    <w:basedOn w:val="Normal"/>
    <w:next w:val="Normal"/>
    <w:autoRedefine/>
    <w:uiPriority w:val="99"/>
    <w:semiHidden/>
    <w:rsid w:val="00FD0330"/>
    <w:pPr>
      <w:ind w:left="1920"/>
      <w:jc w:val="left"/>
    </w:pPr>
    <w:rPr>
      <w:rFonts w:ascii="Calibri" w:hAnsi="Calibri" w:cs="Calibri"/>
      <w:sz w:val="18"/>
      <w:szCs w:val="18"/>
    </w:rPr>
  </w:style>
  <w:style w:type="character" w:styleId="Hyperlink">
    <w:name w:val="Hyperlink"/>
    <w:basedOn w:val="DefaultParagraphFont"/>
    <w:uiPriority w:val="99"/>
    <w:rsid w:val="00FD0330"/>
    <w:rPr>
      <w:rFonts w:cs="Times New Roman"/>
      <w:color w:val="0000FF"/>
      <w:u w:val="single"/>
    </w:rPr>
  </w:style>
  <w:style w:type="paragraph" w:styleId="Index1">
    <w:name w:val="index 1"/>
    <w:basedOn w:val="Normal"/>
    <w:next w:val="Normal"/>
    <w:autoRedefine/>
    <w:uiPriority w:val="99"/>
    <w:semiHidden/>
    <w:rsid w:val="00FD0330"/>
    <w:pPr>
      <w:ind w:left="240" w:hanging="240"/>
    </w:pPr>
  </w:style>
  <w:style w:type="paragraph" w:styleId="Index2">
    <w:name w:val="index 2"/>
    <w:basedOn w:val="Normal"/>
    <w:next w:val="Normal"/>
    <w:autoRedefine/>
    <w:uiPriority w:val="99"/>
    <w:semiHidden/>
    <w:rsid w:val="00FD0330"/>
    <w:pPr>
      <w:ind w:left="480" w:hanging="240"/>
    </w:pPr>
  </w:style>
  <w:style w:type="paragraph" w:styleId="Index3">
    <w:name w:val="index 3"/>
    <w:basedOn w:val="Normal"/>
    <w:next w:val="Normal"/>
    <w:autoRedefine/>
    <w:uiPriority w:val="99"/>
    <w:semiHidden/>
    <w:rsid w:val="00FD0330"/>
    <w:pPr>
      <w:ind w:left="720" w:hanging="240"/>
    </w:pPr>
  </w:style>
  <w:style w:type="paragraph" w:styleId="Index4">
    <w:name w:val="index 4"/>
    <w:basedOn w:val="Normal"/>
    <w:next w:val="Normal"/>
    <w:autoRedefine/>
    <w:uiPriority w:val="99"/>
    <w:semiHidden/>
    <w:rsid w:val="00FD0330"/>
    <w:pPr>
      <w:ind w:left="960" w:hanging="240"/>
    </w:pPr>
  </w:style>
  <w:style w:type="paragraph" w:styleId="Index5">
    <w:name w:val="index 5"/>
    <w:basedOn w:val="Normal"/>
    <w:next w:val="Normal"/>
    <w:autoRedefine/>
    <w:uiPriority w:val="99"/>
    <w:semiHidden/>
    <w:rsid w:val="00FD0330"/>
    <w:pPr>
      <w:ind w:left="1200" w:hanging="240"/>
    </w:pPr>
  </w:style>
  <w:style w:type="paragraph" w:styleId="Index6">
    <w:name w:val="index 6"/>
    <w:basedOn w:val="Normal"/>
    <w:next w:val="Normal"/>
    <w:autoRedefine/>
    <w:uiPriority w:val="99"/>
    <w:semiHidden/>
    <w:rsid w:val="00FD0330"/>
    <w:pPr>
      <w:ind w:left="1440" w:hanging="240"/>
    </w:pPr>
  </w:style>
  <w:style w:type="paragraph" w:styleId="Index7">
    <w:name w:val="index 7"/>
    <w:basedOn w:val="Normal"/>
    <w:next w:val="Normal"/>
    <w:autoRedefine/>
    <w:uiPriority w:val="99"/>
    <w:semiHidden/>
    <w:rsid w:val="00FD0330"/>
    <w:pPr>
      <w:ind w:left="1680" w:hanging="240"/>
    </w:pPr>
  </w:style>
  <w:style w:type="paragraph" w:styleId="Index8">
    <w:name w:val="index 8"/>
    <w:basedOn w:val="Normal"/>
    <w:next w:val="Normal"/>
    <w:autoRedefine/>
    <w:uiPriority w:val="99"/>
    <w:semiHidden/>
    <w:rsid w:val="00FD0330"/>
    <w:pPr>
      <w:ind w:left="1920" w:hanging="240"/>
    </w:pPr>
  </w:style>
  <w:style w:type="paragraph" w:styleId="Index9">
    <w:name w:val="index 9"/>
    <w:basedOn w:val="Normal"/>
    <w:next w:val="Normal"/>
    <w:autoRedefine/>
    <w:uiPriority w:val="99"/>
    <w:semiHidden/>
    <w:rsid w:val="00FD0330"/>
    <w:pPr>
      <w:ind w:left="2160" w:hanging="240"/>
    </w:pPr>
  </w:style>
  <w:style w:type="paragraph" w:styleId="IndexHeading">
    <w:name w:val="index heading"/>
    <w:basedOn w:val="Normal"/>
    <w:next w:val="Index1"/>
    <w:uiPriority w:val="99"/>
    <w:semiHidden/>
    <w:rsid w:val="00FD0330"/>
  </w:style>
  <w:style w:type="paragraph" w:styleId="EndnoteText">
    <w:name w:val="endnote text"/>
    <w:basedOn w:val="Normal"/>
    <w:link w:val="EndnoteTextChar"/>
    <w:uiPriority w:val="99"/>
    <w:semiHidden/>
    <w:rsid w:val="00FD0330"/>
    <w:rPr>
      <w:sz w:val="20"/>
      <w:szCs w:val="20"/>
    </w:rPr>
  </w:style>
  <w:style w:type="character" w:customStyle="1" w:styleId="EndnoteTextChar">
    <w:name w:val="Endnote Text Char"/>
    <w:basedOn w:val="DefaultParagraphFont"/>
    <w:link w:val="EndnoteText"/>
    <w:uiPriority w:val="99"/>
    <w:semiHidden/>
    <w:rsid w:val="00CE59A3"/>
    <w:rPr>
      <w:sz w:val="20"/>
      <w:szCs w:val="20"/>
    </w:rPr>
  </w:style>
  <w:style w:type="paragraph" w:customStyle="1" w:styleId="MTAHeading1">
    <w:name w:val="MTA Heading 1"/>
    <w:basedOn w:val="Heading1"/>
    <w:uiPriority w:val="99"/>
    <w:rsid w:val="00FD0330"/>
    <w:pPr>
      <w:numPr>
        <w:numId w:val="3"/>
      </w:numPr>
      <w:ind w:left="0"/>
    </w:pPr>
    <w:rPr>
      <w:rFonts w:ascii="Swis721 BlkEx BT" w:hAnsi="Swis721 BlkEx BT"/>
      <w:i/>
      <w:sz w:val="28"/>
    </w:rPr>
  </w:style>
  <w:style w:type="paragraph" w:customStyle="1" w:styleId="MTAHeader2">
    <w:name w:val="MTA Header 2"/>
    <w:basedOn w:val="Heading2"/>
    <w:uiPriority w:val="99"/>
    <w:rsid w:val="00FD0330"/>
    <w:pPr>
      <w:tabs>
        <w:tab w:val="clear" w:pos="936"/>
        <w:tab w:val="left" w:pos="720"/>
      </w:tabs>
      <w:ind w:left="720" w:hanging="720"/>
      <w:jc w:val="left"/>
    </w:pPr>
  </w:style>
  <w:style w:type="paragraph" w:customStyle="1" w:styleId="MTAHeader3">
    <w:name w:val="MTA Header 3"/>
    <w:basedOn w:val="Heading3"/>
    <w:uiPriority w:val="99"/>
    <w:rsid w:val="00FD0330"/>
    <w:pPr>
      <w:tabs>
        <w:tab w:val="left" w:pos="0"/>
        <w:tab w:val="left" w:pos="360"/>
        <w:tab w:val="left" w:pos="720"/>
      </w:tabs>
      <w:ind w:left="288" w:hanging="288"/>
      <w:jc w:val="left"/>
    </w:pPr>
  </w:style>
  <w:style w:type="paragraph" w:styleId="BalloonText">
    <w:name w:val="Balloon Text"/>
    <w:basedOn w:val="Normal"/>
    <w:link w:val="BalloonTextChar"/>
    <w:uiPriority w:val="99"/>
    <w:rsid w:val="00286E00"/>
    <w:rPr>
      <w:rFonts w:ascii="Tahoma" w:hAnsi="Tahoma" w:cs="Tahoma"/>
      <w:sz w:val="16"/>
      <w:szCs w:val="16"/>
    </w:rPr>
  </w:style>
  <w:style w:type="character" w:customStyle="1" w:styleId="BalloonTextChar">
    <w:name w:val="Balloon Text Char"/>
    <w:basedOn w:val="DefaultParagraphFont"/>
    <w:link w:val="BalloonText"/>
    <w:uiPriority w:val="99"/>
    <w:locked/>
    <w:rsid w:val="00286E00"/>
    <w:rPr>
      <w:rFonts w:ascii="Tahoma" w:hAnsi="Tahoma" w:cs="Tahoma"/>
      <w:sz w:val="16"/>
      <w:szCs w:val="16"/>
    </w:rPr>
  </w:style>
  <w:style w:type="paragraph" w:styleId="ListParagraph">
    <w:name w:val="List Paragraph"/>
    <w:basedOn w:val="Normal"/>
    <w:uiPriority w:val="99"/>
    <w:qFormat/>
    <w:rsid w:val="001A2772"/>
    <w:pPr>
      <w:ind w:left="720"/>
      <w:contextualSpacing/>
    </w:pPr>
  </w:style>
  <w:style w:type="paragraph" w:customStyle="1" w:styleId="Style5">
    <w:name w:val="Style 5"/>
    <w:basedOn w:val="Heading4"/>
    <w:link w:val="Style5Char"/>
    <w:uiPriority w:val="99"/>
    <w:rsid w:val="00E9479C"/>
    <w:pPr>
      <w:numPr>
        <w:ilvl w:val="0"/>
        <w:numId w:val="0"/>
      </w:numPr>
      <w:tabs>
        <w:tab w:val="clear" w:pos="720"/>
        <w:tab w:val="clear" w:pos="1080"/>
        <w:tab w:val="clear" w:pos="1440"/>
        <w:tab w:val="clear" w:pos="2160"/>
        <w:tab w:val="clear" w:pos="2520"/>
        <w:tab w:val="clear" w:pos="2880"/>
        <w:tab w:val="left" w:pos="-2250"/>
        <w:tab w:val="num" w:pos="1296"/>
        <w:tab w:val="left" w:pos="1890"/>
        <w:tab w:val="left" w:pos="8730"/>
      </w:tabs>
      <w:ind w:left="1296" w:firstLine="414"/>
    </w:pPr>
  </w:style>
  <w:style w:type="paragraph" w:customStyle="1" w:styleId="Style7">
    <w:name w:val="Style7"/>
    <w:basedOn w:val="Heading5"/>
    <w:link w:val="Style7Char"/>
    <w:uiPriority w:val="99"/>
    <w:rsid w:val="00E9479C"/>
  </w:style>
  <w:style w:type="character" w:customStyle="1" w:styleId="Style5Char">
    <w:name w:val="Style 5 Char"/>
    <w:basedOn w:val="Heading4Char"/>
    <w:link w:val="Style5"/>
    <w:uiPriority w:val="99"/>
    <w:locked/>
    <w:rsid w:val="00E9479C"/>
    <w:rPr>
      <w:rFonts w:cs="Times New Roman"/>
      <w:b/>
      <w:sz w:val="40"/>
      <w:szCs w:val="40"/>
    </w:rPr>
  </w:style>
  <w:style w:type="character" w:customStyle="1" w:styleId="Style7Char">
    <w:name w:val="Style7 Char"/>
    <w:basedOn w:val="Heading5Char"/>
    <w:link w:val="Style7"/>
    <w:uiPriority w:val="99"/>
    <w:locked/>
    <w:rsid w:val="00E9479C"/>
    <w:rPr>
      <w:rFonts w:cs="Times New Roman"/>
      <w:i/>
      <w:iCs/>
      <w:sz w:val="24"/>
      <w:szCs w:val="24"/>
    </w:rPr>
  </w:style>
  <w:style w:type="character" w:styleId="EndnoteReference">
    <w:name w:val="endnote reference"/>
    <w:basedOn w:val="DefaultParagraphFont"/>
    <w:uiPriority w:val="99"/>
    <w:rsid w:val="00E9479C"/>
    <w:rPr>
      <w:rFonts w:cs="Times New Roman"/>
      <w:vertAlign w:val="superscript"/>
    </w:rPr>
  </w:style>
  <w:style w:type="paragraph" w:styleId="TableofFigures">
    <w:name w:val="table of figures"/>
    <w:basedOn w:val="Normal"/>
    <w:next w:val="Normal"/>
    <w:autoRedefine/>
    <w:uiPriority w:val="99"/>
    <w:rsid w:val="001279EA"/>
    <w:pPr>
      <w:tabs>
        <w:tab w:val="right" w:leader="dot" w:pos="8630"/>
      </w:tabs>
      <w:ind w:left="1170" w:hanging="1170"/>
      <w:jc w:val="left"/>
    </w:pPr>
    <w:rPr>
      <w:smallCaps/>
      <w:noProof/>
    </w:rPr>
  </w:style>
  <w:style w:type="character" w:styleId="Emphasis">
    <w:name w:val="Emphasis"/>
    <w:basedOn w:val="DefaultParagraphFont"/>
    <w:uiPriority w:val="99"/>
    <w:qFormat/>
    <w:rsid w:val="00E9479C"/>
    <w:rPr>
      <w:rFonts w:cs="Times New Roman"/>
      <w:i/>
    </w:rPr>
  </w:style>
  <w:style w:type="character" w:customStyle="1" w:styleId="CaptionChar">
    <w:name w:val="Caption Char"/>
    <w:link w:val="Caption"/>
    <w:uiPriority w:val="99"/>
    <w:locked/>
    <w:rsid w:val="00E9479C"/>
    <w:rPr>
      <w:b/>
    </w:rPr>
  </w:style>
  <w:style w:type="paragraph" w:customStyle="1" w:styleId="NewCHAPTERNUMBER">
    <w:name w:val="New CHAPTER NUMBER"/>
    <w:basedOn w:val="Normal"/>
    <w:next w:val="Normal"/>
    <w:uiPriority w:val="99"/>
    <w:rsid w:val="00E9479C"/>
    <w:pPr>
      <w:tabs>
        <w:tab w:val="left" w:pos="720"/>
        <w:tab w:val="left" w:pos="1440"/>
        <w:tab w:val="left" w:pos="2160"/>
        <w:tab w:val="left" w:pos="2880"/>
        <w:tab w:val="left" w:pos="3600"/>
        <w:tab w:val="left" w:pos="4320"/>
        <w:tab w:val="left" w:pos="5040"/>
      </w:tabs>
      <w:spacing w:after="200" w:line="276" w:lineRule="auto"/>
      <w:jc w:val="left"/>
    </w:pPr>
    <w:rPr>
      <w:rFonts w:ascii="Swis721 BlkEx BT" w:hAnsi="Swis721 BlkEx BT" w:cs="Tahoma"/>
      <w:b/>
      <w:i/>
      <w:sz w:val="40"/>
      <w:szCs w:val="144"/>
    </w:rPr>
  </w:style>
  <w:style w:type="paragraph" w:customStyle="1" w:styleId="NewFOOTER1">
    <w:name w:val="New FOOTER 1"/>
    <w:basedOn w:val="Normal"/>
    <w:uiPriority w:val="99"/>
    <w:rsid w:val="00E9479C"/>
    <w:pPr>
      <w:spacing w:line="180" w:lineRule="exact"/>
      <w:jc w:val="center"/>
    </w:pPr>
    <w:rPr>
      <w:sz w:val="16"/>
      <w:szCs w:val="16"/>
    </w:rPr>
  </w:style>
  <w:style w:type="table" w:styleId="TableGrid">
    <w:name w:val="Table Grid"/>
    <w:basedOn w:val="TableNormal"/>
    <w:uiPriority w:val="99"/>
    <w:rsid w:val="00E9479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5">
    <w:name w:val="Level 5"/>
    <w:basedOn w:val="Normal"/>
    <w:uiPriority w:val="99"/>
    <w:rsid w:val="00E9479C"/>
    <w:pPr>
      <w:widowControl w:val="0"/>
      <w:jc w:val="left"/>
    </w:pPr>
    <w:rPr>
      <w:szCs w:val="20"/>
    </w:rPr>
  </w:style>
  <w:style w:type="paragraph" w:customStyle="1" w:styleId="TableParagraph">
    <w:name w:val="Table Paragraph"/>
    <w:basedOn w:val="Normal"/>
    <w:uiPriority w:val="99"/>
    <w:rsid w:val="00E9479C"/>
    <w:pPr>
      <w:widowControl w:val="0"/>
      <w:jc w:val="left"/>
    </w:pPr>
    <w:rPr>
      <w:rFonts w:ascii="Calibri" w:hAnsi="Calibri"/>
      <w:sz w:val="22"/>
      <w:szCs w:val="22"/>
    </w:rPr>
  </w:style>
  <w:style w:type="character" w:styleId="CommentReference">
    <w:name w:val="annotation reference"/>
    <w:basedOn w:val="DefaultParagraphFont"/>
    <w:uiPriority w:val="99"/>
    <w:rsid w:val="00E9479C"/>
    <w:rPr>
      <w:rFonts w:cs="Times New Roman"/>
      <w:sz w:val="18"/>
    </w:rPr>
  </w:style>
  <w:style w:type="paragraph" w:styleId="CommentText">
    <w:name w:val="annotation text"/>
    <w:basedOn w:val="Normal"/>
    <w:link w:val="CommentTextChar"/>
    <w:uiPriority w:val="99"/>
    <w:rsid w:val="00E9479C"/>
    <w:pPr>
      <w:widowControl w:val="0"/>
      <w:jc w:val="left"/>
    </w:pPr>
    <w:rPr>
      <w:rFonts w:ascii="Calibri" w:hAnsi="Calibri"/>
    </w:rPr>
  </w:style>
  <w:style w:type="character" w:customStyle="1" w:styleId="CommentTextChar">
    <w:name w:val="Comment Text Char"/>
    <w:basedOn w:val="DefaultParagraphFont"/>
    <w:link w:val="CommentText"/>
    <w:uiPriority w:val="99"/>
    <w:locked/>
    <w:rsid w:val="00E9479C"/>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rsid w:val="00E9479C"/>
    <w:rPr>
      <w:b/>
      <w:bCs/>
      <w:sz w:val="20"/>
      <w:szCs w:val="20"/>
    </w:rPr>
  </w:style>
  <w:style w:type="character" w:customStyle="1" w:styleId="CommentSubjectChar">
    <w:name w:val="Comment Subject Char"/>
    <w:basedOn w:val="CommentTextChar"/>
    <w:link w:val="CommentSubject"/>
    <w:uiPriority w:val="99"/>
    <w:locked/>
    <w:rsid w:val="00E9479C"/>
    <w:rPr>
      <w:rFonts w:ascii="Calibri" w:eastAsia="Times New Roman" w:hAnsi="Calibri" w:cs="Times New Roman"/>
      <w:b/>
      <w:bCs/>
      <w:sz w:val="24"/>
      <w:szCs w:val="24"/>
    </w:rPr>
  </w:style>
  <w:style w:type="paragraph" w:customStyle="1" w:styleId="TOCHeading1">
    <w:name w:val="TOC Heading1"/>
    <w:basedOn w:val="Heading1"/>
    <w:next w:val="Normal"/>
    <w:uiPriority w:val="99"/>
    <w:semiHidden/>
    <w:rsid w:val="00E9479C"/>
    <w:pPr>
      <w:keepLines/>
      <w:numPr>
        <w:numId w:val="0"/>
      </w:numPr>
      <w:spacing w:before="480" w:after="0" w:line="276" w:lineRule="auto"/>
      <w:jc w:val="left"/>
      <w:outlineLvl w:val="9"/>
    </w:pPr>
    <w:rPr>
      <w:rFonts w:ascii="Cambria" w:eastAsia="MS Gothic" w:hAnsi="Cambria"/>
      <w:color w:val="365F91"/>
      <w:kern w:val="0"/>
      <w:sz w:val="28"/>
      <w:szCs w:val="28"/>
      <w:lang w:eastAsia="ja-JP"/>
    </w:rPr>
  </w:style>
  <w:style w:type="paragraph" w:styleId="PlainText">
    <w:name w:val="Plain Text"/>
    <w:basedOn w:val="Normal"/>
    <w:link w:val="PlainTextChar"/>
    <w:uiPriority w:val="99"/>
    <w:rsid w:val="00E9479C"/>
    <w:pPr>
      <w:jc w:val="left"/>
    </w:pPr>
    <w:rPr>
      <w:rFonts w:ascii="Consolas" w:hAnsi="Consolas"/>
      <w:sz w:val="21"/>
      <w:szCs w:val="21"/>
    </w:rPr>
  </w:style>
  <w:style w:type="character" w:customStyle="1" w:styleId="PlainTextChar">
    <w:name w:val="Plain Text Char"/>
    <w:basedOn w:val="DefaultParagraphFont"/>
    <w:link w:val="PlainText"/>
    <w:uiPriority w:val="99"/>
    <w:locked/>
    <w:rsid w:val="00E9479C"/>
    <w:rPr>
      <w:rFonts w:ascii="Consolas" w:eastAsia="Times New Roman" w:hAnsi="Consolas" w:cs="Times New Roman"/>
      <w:sz w:val="21"/>
      <w:szCs w:val="21"/>
    </w:rPr>
  </w:style>
  <w:style w:type="paragraph" w:styleId="IntenseQuote">
    <w:name w:val="Intense Quote"/>
    <w:basedOn w:val="Normal"/>
    <w:next w:val="Normal"/>
    <w:link w:val="IntenseQuoteChar"/>
    <w:uiPriority w:val="99"/>
    <w:qFormat/>
    <w:rsid w:val="00E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9479C"/>
    <w:rPr>
      <w:rFonts w:cs="Times New Roman"/>
      <w:b/>
      <w:bCs/>
      <w:i/>
      <w:iCs/>
      <w:color w:val="4F81BD"/>
      <w:sz w:val="24"/>
      <w:szCs w:val="24"/>
    </w:rPr>
  </w:style>
  <w:style w:type="paragraph" w:customStyle="1" w:styleId="3Paragraph">
    <w:name w:val="3Paragraph"/>
    <w:uiPriority w:val="99"/>
    <w:rsid w:val="00BE5384"/>
    <w:pPr>
      <w:tabs>
        <w:tab w:val="left" w:pos="720"/>
      </w:tabs>
      <w:autoSpaceDE w:val="0"/>
      <w:autoSpaceDN w:val="0"/>
      <w:adjustRightInd w:val="0"/>
      <w:ind w:left="1080" w:right="1080" w:hanging="1080"/>
    </w:pPr>
    <w:rPr>
      <w:b/>
      <w:bCs/>
      <w:sz w:val="24"/>
      <w:szCs w:val="24"/>
    </w:rPr>
  </w:style>
  <w:style w:type="paragraph" w:customStyle="1" w:styleId="2Paragraph">
    <w:name w:val="2Paragraph"/>
    <w:uiPriority w:val="99"/>
    <w:rsid w:val="00BE5384"/>
    <w:pPr>
      <w:tabs>
        <w:tab w:val="left" w:pos="720"/>
        <w:tab w:val="left" w:pos="1440"/>
      </w:tabs>
      <w:autoSpaceDE w:val="0"/>
      <w:autoSpaceDN w:val="0"/>
      <w:adjustRightInd w:val="0"/>
      <w:ind w:left="1440" w:right="1440" w:hanging="1440"/>
    </w:pPr>
    <w:rPr>
      <w:rFonts w:ascii="Swis721 BlkEx BT" w:hAnsi="Swis721 BlkEx BT" w:cs="Swis721 BlkEx BT"/>
      <w:b/>
      <w:bCs/>
      <w:sz w:val="24"/>
      <w:szCs w:val="24"/>
    </w:rPr>
  </w:style>
  <w:style w:type="paragraph" w:customStyle="1" w:styleId="5Paragraph">
    <w:name w:val="5Paragraph"/>
    <w:uiPriority w:val="99"/>
    <w:rsid w:val="00BE5384"/>
    <w:pPr>
      <w:autoSpaceDE w:val="0"/>
      <w:autoSpaceDN w:val="0"/>
      <w:adjustRightInd w:val="0"/>
      <w:ind w:left="1080"/>
    </w:pPr>
    <w:rPr>
      <w:b/>
      <w:bCs/>
      <w:sz w:val="24"/>
      <w:szCs w:val="24"/>
    </w:rPr>
  </w:style>
  <w:style w:type="paragraph" w:styleId="Revision">
    <w:name w:val="Revision"/>
    <w:hidden/>
    <w:uiPriority w:val="99"/>
    <w:semiHidden/>
    <w:rsid w:val="00BE5384"/>
    <w:rPr>
      <w:sz w:val="24"/>
      <w:szCs w:val="24"/>
    </w:rPr>
  </w:style>
  <w:style w:type="character" w:customStyle="1" w:styleId="apple-style-span">
    <w:name w:val="apple-style-span"/>
    <w:basedOn w:val="DefaultParagraphFont"/>
    <w:uiPriority w:val="99"/>
    <w:rsid w:val="00BE5384"/>
    <w:rPr>
      <w:rFonts w:cs="Times New Roman"/>
    </w:rPr>
  </w:style>
  <w:style w:type="paragraph" w:customStyle="1" w:styleId="Default">
    <w:name w:val="Default"/>
    <w:uiPriority w:val="99"/>
    <w:rsid w:val="00BB08DC"/>
    <w:pPr>
      <w:autoSpaceDE w:val="0"/>
      <w:autoSpaceDN w:val="0"/>
      <w:adjustRightInd w:val="0"/>
    </w:pPr>
    <w:rPr>
      <w:color w:val="000000"/>
      <w:sz w:val="24"/>
      <w:szCs w:val="24"/>
    </w:rPr>
  </w:style>
  <w:style w:type="character" w:customStyle="1" w:styleId="yiv717624009mark">
    <w:name w:val="yiv717624009mark"/>
    <w:basedOn w:val="DefaultParagraphFont"/>
    <w:uiPriority w:val="99"/>
    <w:rsid w:val="00BB08DC"/>
    <w:rPr>
      <w:rFonts w:cs="Times New Roman"/>
    </w:rPr>
  </w:style>
  <w:style w:type="character" w:styleId="FollowedHyperlink">
    <w:name w:val="FollowedHyperlink"/>
    <w:basedOn w:val="DefaultParagraphFont"/>
    <w:uiPriority w:val="99"/>
    <w:semiHidden/>
    <w:rsid w:val="004C189D"/>
    <w:rPr>
      <w:rFonts w:cs="Times New Roman"/>
      <w:color w:val="800080"/>
      <w:u w:val="single"/>
    </w:rPr>
  </w:style>
  <w:style w:type="numbering" w:customStyle="1" w:styleId="StyleStyle2Outlinenumbered">
    <w:name w:val="Style Style2 + Outline numbered"/>
    <w:rsid w:val="00CE59A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330"/>
    <w:pPr>
      <w:jc w:val="both"/>
    </w:pPr>
    <w:rPr>
      <w:sz w:val="24"/>
      <w:szCs w:val="24"/>
    </w:rPr>
  </w:style>
  <w:style w:type="paragraph" w:styleId="Heading1">
    <w:name w:val="heading 1"/>
    <w:basedOn w:val="Normal"/>
    <w:next w:val="Normal"/>
    <w:link w:val="Heading1Char"/>
    <w:uiPriority w:val="99"/>
    <w:qFormat/>
    <w:rsid w:val="00FD0330"/>
    <w:pPr>
      <w:keepNext/>
      <w:numPr>
        <w:numId w:val="1"/>
      </w:numPr>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FD0330"/>
    <w:pPr>
      <w:keepNext/>
      <w:numPr>
        <w:ilvl w:val="1"/>
        <w:numId w:val="3"/>
      </w:numPr>
      <w:outlineLvl w:val="1"/>
    </w:pPr>
    <w:rPr>
      <w:rFonts w:ascii="Swis721 BlkEx BT" w:hAnsi="Swis721 BlkEx BT"/>
      <w:b/>
      <w:bCs/>
      <w:i/>
    </w:rPr>
  </w:style>
  <w:style w:type="paragraph" w:styleId="Heading3">
    <w:name w:val="heading 3"/>
    <w:basedOn w:val="Normal"/>
    <w:next w:val="Normal"/>
    <w:link w:val="Heading3Char"/>
    <w:uiPriority w:val="99"/>
    <w:qFormat/>
    <w:rsid w:val="00367825"/>
    <w:pPr>
      <w:keepNext/>
      <w:numPr>
        <w:ilvl w:val="2"/>
        <w:numId w:val="2"/>
      </w:numPr>
      <w:outlineLvl w:val="2"/>
    </w:pPr>
    <w:rPr>
      <w:b/>
      <w:bCs/>
    </w:rPr>
  </w:style>
  <w:style w:type="paragraph" w:styleId="Heading4">
    <w:name w:val="heading 4"/>
    <w:basedOn w:val="Normal"/>
    <w:next w:val="Normal"/>
    <w:link w:val="Heading4Char"/>
    <w:uiPriority w:val="99"/>
    <w:qFormat/>
    <w:rsid w:val="00B2066D"/>
    <w:pPr>
      <w:keepNext/>
      <w:numPr>
        <w:ilvl w:val="4"/>
        <w:numId w:val="3"/>
      </w:numPr>
      <w:tabs>
        <w:tab w:val="left" w:pos="0"/>
        <w:tab w:val="left" w:pos="720"/>
        <w:tab w:val="left" w:pos="1080"/>
        <w:tab w:val="left" w:pos="1440"/>
        <w:tab w:val="left" w:pos="2160"/>
        <w:tab w:val="right" w:leader="dot" w:pos="2520"/>
        <w:tab w:val="left" w:pos="2880"/>
        <w:tab w:val="right" w:leader="dot" w:pos="9360"/>
      </w:tabs>
      <w:ind w:hanging="216"/>
      <w:outlineLvl w:val="3"/>
    </w:pPr>
    <w:rPr>
      <w:b/>
      <w:szCs w:val="40"/>
    </w:rPr>
  </w:style>
  <w:style w:type="paragraph" w:styleId="Heading5">
    <w:name w:val="heading 5"/>
    <w:basedOn w:val="Normal"/>
    <w:next w:val="Normal"/>
    <w:link w:val="Heading5Char"/>
    <w:uiPriority w:val="99"/>
    <w:qFormat/>
    <w:rsid w:val="00B2066D"/>
    <w:pPr>
      <w:keepNext/>
      <w:ind w:left="720"/>
      <w:outlineLvl w:val="4"/>
    </w:pPr>
    <w:rPr>
      <w:i/>
      <w:iCs/>
      <w:sz w:val="28"/>
    </w:rPr>
  </w:style>
  <w:style w:type="paragraph" w:styleId="Heading6">
    <w:name w:val="heading 6"/>
    <w:basedOn w:val="Normal"/>
    <w:next w:val="Normal"/>
    <w:link w:val="Heading6Char"/>
    <w:uiPriority w:val="99"/>
    <w:qFormat/>
    <w:rsid w:val="00B2066D"/>
    <w:pPr>
      <w:keepNext/>
      <w:numPr>
        <w:numId w:val="4"/>
      </w:numPr>
      <w:outlineLvl w:val="5"/>
    </w:pPr>
  </w:style>
  <w:style w:type="paragraph" w:styleId="Heading7">
    <w:name w:val="heading 7"/>
    <w:basedOn w:val="Normal"/>
    <w:next w:val="Normal"/>
    <w:link w:val="Heading7Char"/>
    <w:uiPriority w:val="99"/>
    <w:qFormat/>
    <w:rsid w:val="00FD0330"/>
    <w:pPr>
      <w:keepNext/>
      <w:outlineLvl w:val="6"/>
    </w:pPr>
    <w:rPr>
      <w:i/>
      <w:iCs/>
      <w:sz w:val="28"/>
    </w:rPr>
  </w:style>
  <w:style w:type="paragraph" w:styleId="Heading8">
    <w:name w:val="heading 8"/>
    <w:basedOn w:val="Normal"/>
    <w:next w:val="Normal"/>
    <w:link w:val="Heading8Char"/>
    <w:uiPriority w:val="99"/>
    <w:qFormat/>
    <w:rsid w:val="00FD0330"/>
    <w:pPr>
      <w:keepNext/>
      <w:jc w:val="righ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479C"/>
    <w:rPr>
      <w:rFonts w:ascii="Arial" w:hAnsi="Arial"/>
      <w:b/>
      <w:kern w:val="32"/>
      <w:sz w:val="32"/>
    </w:rPr>
  </w:style>
  <w:style w:type="character" w:customStyle="1" w:styleId="Heading2Char">
    <w:name w:val="Heading 2 Char"/>
    <w:basedOn w:val="DefaultParagraphFont"/>
    <w:link w:val="Heading2"/>
    <w:uiPriority w:val="99"/>
    <w:locked/>
    <w:rsid w:val="00E9479C"/>
    <w:rPr>
      <w:rFonts w:ascii="Swis721 BlkEx BT" w:hAnsi="Swis721 BlkEx BT"/>
      <w:b/>
      <w:i/>
      <w:sz w:val="24"/>
    </w:rPr>
  </w:style>
  <w:style w:type="character" w:customStyle="1" w:styleId="Heading3Char">
    <w:name w:val="Heading 3 Char"/>
    <w:basedOn w:val="DefaultParagraphFont"/>
    <w:link w:val="Heading3"/>
    <w:uiPriority w:val="99"/>
    <w:locked/>
    <w:rsid w:val="00367825"/>
    <w:rPr>
      <w:b/>
      <w:sz w:val="24"/>
    </w:rPr>
  </w:style>
  <w:style w:type="character" w:customStyle="1" w:styleId="Heading4Char">
    <w:name w:val="Heading 4 Char"/>
    <w:basedOn w:val="DefaultParagraphFont"/>
    <w:link w:val="Heading4"/>
    <w:uiPriority w:val="99"/>
    <w:locked/>
    <w:rsid w:val="00E9479C"/>
    <w:rPr>
      <w:rFonts w:cs="Times New Roman"/>
      <w:b/>
      <w:sz w:val="40"/>
      <w:szCs w:val="40"/>
    </w:rPr>
  </w:style>
  <w:style w:type="character" w:customStyle="1" w:styleId="Heading5Char">
    <w:name w:val="Heading 5 Char"/>
    <w:basedOn w:val="DefaultParagraphFont"/>
    <w:link w:val="Heading5"/>
    <w:uiPriority w:val="99"/>
    <w:locked/>
    <w:rsid w:val="00E9479C"/>
    <w:rPr>
      <w:rFonts w:cs="Times New Roman"/>
      <w:i/>
      <w:iCs/>
      <w:sz w:val="24"/>
      <w:szCs w:val="24"/>
    </w:rPr>
  </w:style>
  <w:style w:type="character" w:customStyle="1" w:styleId="Heading6Char">
    <w:name w:val="Heading 6 Char"/>
    <w:basedOn w:val="DefaultParagraphFont"/>
    <w:link w:val="Heading6"/>
    <w:uiPriority w:val="9"/>
    <w:semiHidden/>
    <w:rsid w:val="00CE59A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E59A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E59A3"/>
    <w:rPr>
      <w:rFonts w:asciiTheme="minorHAnsi" w:eastAsiaTheme="minorEastAsia" w:hAnsiTheme="minorHAnsi" w:cstheme="minorBidi"/>
      <w:i/>
      <w:iCs/>
      <w:sz w:val="24"/>
      <w:szCs w:val="24"/>
    </w:rPr>
  </w:style>
  <w:style w:type="paragraph" w:styleId="Header">
    <w:name w:val="header"/>
    <w:basedOn w:val="Normal"/>
    <w:link w:val="HeaderChar"/>
    <w:uiPriority w:val="99"/>
    <w:rsid w:val="00FD0330"/>
    <w:pPr>
      <w:tabs>
        <w:tab w:val="center" w:pos="4320"/>
        <w:tab w:val="right" w:pos="8640"/>
      </w:tabs>
    </w:pPr>
  </w:style>
  <w:style w:type="character" w:customStyle="1" w:styleId="HeaderChar">
    <w:name w:val="Header Char"/>
    <w:basedOn w:val="DefaultParagraphFont"/>
    <w:link w:val="Header"/>
    <w:uiPriority w:val="99"/>
    <w:locked/>
    <w:rsid w:val="00E9479C"/>
    <w:rPr>
      <w:sz w:val="24"/>
    </w:rPr>
  </w:style>
  <w:style w:type="paragraph" w:styleId="Caption">
    <w:name w:val="caption"/>
    <w:basedOn w:val="Normal"/>
    <w:next w:val="Normal"/>
    <w:link w:val="CaptionChar"/>
    <w:uiPriority w:val="99"/>
    <w:qFormat/>
    <w:rsid w:val="004C70E6"/>
    <w:rPr>
      <w:b/>
      <w:bCs/>
      <w:sz w:val="20"/>
      <w:szCs w:val="20"/>
    </w:rPr>
  </w:style>
  <w:style w:type="paragraph" w:customStyle="1" w:styleId="ChapterTitle">
    <w:name w:val="Chapter Title"/>
    <w:basedOn w:val="Normal"/>
    <w:uiPriority w:val="99"/>
    <w:rsid w:val="00FD0330"/>
    <w:pPr>
      <w:tabs>
        <w:tab w:val="left" w:pos="-720"/>
      </w:tabs>
      <w:ind w:hanging="720"/>
    </w:pPr>
    <w:rPr>
      <w:rFonts w:ascii="Swis721 BlkEx BT" w:hAnsi="Swis721 BlkEx BT"/>
      <w:b/>
      <w:i/>
      <w:sz w:val="40"/>
    </w:rPr>
  </w:style>
  <w:style w:type="paragraph" w:styleId="Footer">
    <w:name w:val="footer"/>
    <w:basedOn w:val="Normal"/>
    <w:link w:val="FooterChar"/>
    <w:uiPriority w:val="99"/>
    <w:rsid w:val="00FD0330"/>
    <w:pPr>
      <w:tabs>
        <w:tab w:val="center" w:pos="4320"/>
        <w:tab w:val="right" w:pos="8640"/>
      </w:tabs>
    </w:pPr>
  </w:style>
  <w:style w:type="character" w:customStyle="1" w:styleId="FooterChar">
    <w:name w:val="Footer Char"/>
    <w:basedOn w:val="DefaultParagraphFont"/>
    <w:link w:val="Footer"/>
    <w:uiPriority w:val="99"/>
    <w:locked/>
    <w:rsid w:val="00E9479C"/>
    <w:rPr>
      <w:rFonts w:cs="Times New Roman"/>
      <w:sz w:val="24"/>
      <w:szCs w:val="24"/>
    </w:rPr>
  </w:style>
  <w:style w:type="character" w:styleId="PageNumber">
    <w:name w:val="page number"/>
    <w:basedOn w:val="DefaultParagraphFont"/>
    <w:uiPriority w:val="99"/>
    <w:rsid w:val="00FD0330"/>
    <w:rPr>
      <w:rFonts w:cs="Times New Roman"/>
    </w:rPr>
  </w:style>
  <w:style w:type="character" w:styleId="FootnoteReference">
    <w:name w:val="footnote reference"/>
    <w:basedOn w:val="DefaultParagraphFont"/>
    <w:uiPriority w:val="99"/>
    <w:rsid w:val="00FD0330"/>
    <w:rPr>
      <w:rFonts w:cs="Times New Roman"/>
      <w:vertAlign w:val="superscript"/>
    </w:rPr>
  </w:style>
  <w:style w:type="paragraph" w:styleId="BodyTextIndent2">
    <w:name w:val="Body Text Indent 2"/>
    <w:basedOn w:val="Normal"/>
    <w:link w:val="BodyTextIndent2Char"/>
    <w:uiPriority w:val="99"/>
    <w:rsid w:val="00FD0330"/>
    <w:pPr>
      <w:ind w:left="720"/>
    </w:pPr>
    <w:rPr>
      <w:sz w:val="28"/>
    </w:rPr>
  </w:style>
  <w:style w:type="character" w:customStyle="1" w:styleId="BodyTextIndent2Char">
    <w:name w:val="Body Text Indent 2 Char"/>
    <w:basedOn w:val="DefaultParagraphFont"/>
    <w:link w:val="BodyTextIndent2"/>
    <w:uiPriority w:val="99"/>
    <w:semiHidden/>
    <w:rsid w:val="00CE59A3"/>
    <w:rPr>
      <w:sz w:val="24"/>
      <w:szCs w:val="24"/>
    </w:rPr>
  </w:style>
  <w:style w:type="paragraph" w:styleId="BodyText">
    <w:name w:val="Body Text"/>
    <w:basedOn w:val="Normal"/>
    <w:link w:val="BodyTextChar"/>
    <w:uiPriority w:val="99"/>
    <w:rsid w:val="00FD0330"/>
    <w:rPr>
      <w:sz w:val="28"/>
    </w:rPr>
  </w:style>
  <w:style w:type="character" w:customStyle="1" w:styleId="BodyTextChar">
    <w:name w:val="Body Text Char"/>
    <w:basedOn w:val="DefaultParagraphFont"/>
    <w:link w:val="BodyText"/>
    <w:uiPriority w:val="99"/>
    <w:locked/>
    <w:rsid w:val="00E9479C"/>
    <w:rPr>
      <w:sz w:val="24"/>
    </w:rPr>
  </w:style>
  <w:style w:type="paragraph" w:styleId="BodyTextIndent">
    <w:name w:val="Body Text Indent"/>
    <w:basedOn w:val="Normal"/>
    <w:link w:val="BodyTextIndentChar"/>
    <w:uiPriority w:val="99"/>
    <w:rsid w:val="00FD0330"/>
    <w:pPr>
      <w:ind w:left="65"/>
    </w:pPr>
  </w:style>
  <w:style w:type="character" w:customStyle="1" w:styleId="BodyTextIndentChar">
    <w:name w:val="Body Text Indent Char"/>
    <w:basedOn w:val="DefaultParagraphFont"/>
    <w:link w:val="BodyTextIndent"/>
    <w:uiPriority w:val="99"/>
    <w:semiHidden/>
    <w:rsid w:val="00CE59A3"/>
    <w:rPr>
      <w:sz w:val="24"/>
      <w:szCs w:val="24"/>
    </w:rPr>
  </w:style>
  <w:style w:type="paragraph" w:styleId="FootnoteText">
    <w:name w:val="footnote text"/>
    <w:basedOn w:val="Normal"/>
    <w:link w:val="FootnoteTextChar"/>
    <w:qFormat/>
    <w:rsid w:val="00FD0330"/>
    <w:pPr>
      <w:tabs>
        <w:tab w:val="left" w:pos="360"/>
      </w:tabs>
      <w:ind w:left="144" w:hanging="144"/>
    </w:pPr>
    <w:rPr>
      <w:sz w:val="20"/>
      <w:szCs w:val="20"/>
    </w:rPr>
  </w:style>
  <w:style w:type="character" w:customStyle="1" w:styleId="FootnoteTextChar">
    <w:name w:val="Footnote Text Char"/>
    <w:basedOn w:val="DefaultParagraphFont"/>
    <w:link w:val="FootnoteText"/>
    <w:locked/>
    <w:rsid w:val="00E9479C"/>
    <w:rPr>
      <w:rFonts w:cs="Times New Roman"/>
    </w:rPr>
  </w:style>
  <w:style w:type="paragraph" w:styleId="TOC1">
    <w:name w:val="toc 1"/>
    <w:basedOn w:val="Normal"/>
    <w:next w:val="Normal"/>
    <w:autoRedefine/>
    <w:uiPriority w:val="99"/>
    <w:rsid w:val="00E06A29"/>
    <w:pPr>
      <w:tabs>
        <w:tab w:val="left" w:pos="2006"/>
        <w:tab w:val="right" w:leader="dot" w:pos="8630"/>
      </w:tabs>
      <w:spacing w:before="120" w:after="120"/>
      <w:jc w:val="left"/>
    </w:pPr>
    <w:rPr>
      <w:b/>
      <w:i/>
      <w:caps/>
      <w:noProof/>
      <w:color w:val="000000"/>
    </w:rPr>
  </w:style>
  <w:style w:type="paragraph" w:styleId="TOC2">
    <w:name w:val="toc 2"/>
    <w:basedOn w:val="Normal"/>
    <w:next w:val="Normal"/>
    <w:autoRedefine/>
    <w:uiPriority w:val="99"/>
    <w:rsid w:val="00AA45BF"/>
    <w:pPr>
      <w:ind w:left="240"/>
      <w:jc w:val="left"/>
    </w:pPr>
    <w:rPr>
      <w:rFonts w:ascii="Calibri" w:hAnsi="Calibri" w:cs="Calibri"/>
      <w:smallCaps/>
      <w:sz w:val="20"/>
      <w:szCs w:val="20"/>
    </w:rPr>
  </w:style>
  <w:style w:type="paragraph" w:styleId="TOC3">
    <w:name w:val="toc 3"/>
    <w:basedOn w:val="Normal"/>
    <w:next w:val="Normal"/>
    <w:autoRedefine/>
    <w:uiPriority w:val="99"/>
    <w:rsid w:val="00FD0330"/>
    <w:pPr>
      <w:ind w:left="480"/>
      <w:jc w:val="left"/>
    </w:pPr>
    <w:rPr>
      <w:rFonts w:ascii="Calibri" w:hAnsi="Calibri" w:cs="Calibri"/>
      <w:i/>
      <w:iCs/>
      <w:sz w:val="20"/>
      <w:szCs w:val="20"/>
    </w:rPr>
  </w:style>
  <w:style w:type="paragraph" w:styleId="TOC4">
    <w:name w:val="toc 4"/>
    <w:basedOn w:val="Normal"/>
    <w:next w:val="Normal"/>
    <w:autoRedefine/>
    <w:uiPriority w:val="99"/>
    <w:rsid w:val="00FD0330"/>
    <w:pPr>
      <w:ind w:left="720"/>
      <w:jc w:val="left"/>
    </w:pPr>
    <w:rPr>
      <w:rFonts w:ascii="Calibri" w:hAnsi="Calibri" w:cs="Calibri"/>
      <w:sz w:val="18"/>
      <w:szCs w:val="18"/>
    </w:rPr>
  </w:style>
  <w:style w:type="paragraph" w:styleId="TOC5">
    <w:name w:val="toc 5"/>
    <w:basedOn w:val="Normal"/>
    <w:next w:val="Normal"/>
    <w:autoRedefine/>
    <w:uiPriority w:val="99"/>
    <w:rsid w:val="00FD0330"/>
    <w:pPr>
      <w:ind w:left="960"/>
      <w:jc w:val="left"/>
    </w:pPr>
    <w:rPr>
      <w:rFonts w:ascii="Calibri" w:hAnsi="Calibri" w:cs="Calibri"/>
      <w:sz w:val="18"/>
      <w:szCs w:val="18"/>
    </w:rPr>
  </w:style>
  <w:style w:type="paragraph" w:styleId="TOC6">
    <w:name w:val="toc 6"/>
    <w:basedOn w:val="Normal"/>
    <w:next w:val="Normal"/>
    <w:autoRedefine/>
    <w:uiPriority w:val="99"/>
    <w:rsid w:val="00FD0330"/>
    <w:pPr>
      <w:ind w:left="1200"/>
      <w:jc w:val="left"/>
    </w:pPr>
    <w:rPr>
      <w:rFonts w:ascii="Calibri" w:hAnsi="Calibri" w:cs="Calibri"/>
      <w:sz w:val="18"/>
      <w:szCs w:val="18"/>
    </w:rPr>
  </w:style>
  <w:style w:type="paragraph" w:styleId="TOC7">
    <w:name w:val="toc 7"/>
    <w:basedOn w:val="Normal"/>
    <w:next w:val="Normal"/>
    <w:autoRedefine/>
    <w:uiPriority w:val="99"/>
    <w:rsid w:val="00FD0330"/>
    <w:pPr>
      <w:ind w:left="1440"/>
      <w:jc w:val="left"/>
    </w:pPr>
    <w:rPr>
      <w:rFonts w:ascii="Calibri" w:hAnsi="Calibri" w:cs="Calibri"/>
      <w:sz w:val="18"/>
      <w:szCs w:val="18"/>
    </w:rPr>
  </w:style>
  <w:style w:type="paragraph" w:styleId="TOC8">
    <w:name w:val="toc 8"/>
    <w:basedOn w:val="Normal"/>
    <w:next w:val="Normal"/>
    <w:autoRedefine/>
    <w:uiPriority w:val="99"/>
    <w:rsid w:val="00FD0330"/>
    <w:pPr>
      <w:ind w:left="1680"/>
      <w:jc w:val="left"/>
    </w:pPr>
    <w:rPr>
      <w:rFonts w:ascii="Calibri" w:hAnsi="Calibri" w:cs="Calibri"/>
      <w:sz w:val="18"/>
      <w:szCs w:val="18"/>
    </w:rPr>
  </w:style>
  <w:style w:type="paragraph" w:styleId="TOC9">
    <w:name w:val="toc 9"/>
    <w:basedOn w:val="Normal"/>
    <w:next w:val="Normal"/>
    <w:autoRedefine/>
    <w:uiPriority w:val="99"/>
    <w:semiHidden/>
    <w:rsid w:val="00FD0330"/>
    <w:pPr>
      <w:ind w:left="1920"/>
      <w:jc w:val="left"/>
    </w:pPr>
    <w:rPr>
      <w:rFonts w:ascii="Calibri" w:hAnsi="Calibri" w:cs="Calibri"/>
      <w:sz w:val="18"/>
      <w:szCs w:val="18"/>
    </w:rPr>
  </w:style>
  <w:style w:type="character" w:styleId="Hyperlink">
    <w:name w:val="Hyperlink"/>
    <w:basedOn w:val="DefaultParagraphFont"/>
    <w:uiPriority w:val="99"/>
    <w:rsid w:val="00FD0330"/>
    <w:rPr>
      <w:rFonts w:cs="Times New Roman"/>
      <w:color w:val="0000FF"/>
      <w:u w:val="single"/>
    </w:rPr>
  </w:style>
  <w:style w:type="paragraph" w:styleId="Index1">
    <w:name w:val="index 1"/>
    <w:basedOn w:val="Normal"/>
    <w:next w:val="Normal"/>
    <w:autoRedefine/>
    <w:uiPriority w:val="99"/>
    <w:semiHidden/>
    <w:rsid w:val="00FD0330"/>
    <w:pPr>
      <w:ind w:left="240" w:hanging="240"/>
    </w:pPr>
  </w:style>
  <w:style w:type="paragraph" w:styleId="Index2">
    <w:name w:val="index 2"/>
    <w:basedOn w:val="Normal"/>
    <w:next w:val="Normal"/>
    <w:autoRedefine/>
    <w:uiPriority w:val="99"/>
    <w:semiHidden/>
    <w:rsid w:val="00FD0330"/>
    <w:pPr>
      <w:ind w:left="480" w:hanging="240"/>
    </w:pPr>
  </w:style>
  <w:style w:type="paragraph" w:styleId="Index3">
    <w:name w:val="index 3"/>
    <w:basedOn w:val="Normal"/>
    <w:next w:val="Normal"/>
    <w:autoRedefine/>
    <w:uiPriority w:val="99"/>
    <w:semiHidden/>
    <w:rsid w:val="00FD0330"/>
    <w:pPr>
      <w:ind w:left="720" w:hanging="240"/>
    </w:pPr>
  </w:style>
  <w:style w:type="paragraph" w:styleId="Index4">
    <w:name w:val="index 4"/>
    <w:basedOn w:val="Normal"/>
    <w:next w:val="Normal"/>
    <w:autoRedefine/>
    <w:uiPriority w:val="99"/>
    <w:semiHidden/>
    <w:rsid w:val="00FD0330"/>
    <w:pPr>
      <w:ind w:left="960" w:hanging="240"/>
    </w:pPr>
  </w:style>
  <w:style w:type="paragraph" w:styleId="Index5">
    <w:name w:val="index 5"/>
    <w:basedOn w:val="Normal"/>
    <w:next w:val="Normal"/>
    <w:autoRedefine/>
    <w:uiPriority w:val="99"/>
    <w:semiHidden/>
    <w:rsid w:val="00FD0330"/>
    <w:pPr>
      <w:ind w:left="1200" w:hanging="240"/>
    </w:pPr>
  </w:style>
  <w:style w:type="paragraph" w:styleId="Index6">
    <w:name w:val="index 6"/>
    <w:basedOn w:val="Normal"/>
    <w:next w:val="Normal"/>
    <w:autoRedefine/>
    <w:uiPriority w:val="99"/>
    <w:semiHidden/>
    <w:rsid w:val="00FD0330"/>
    <w:pPr>
      <w:ind w:left="1440" w:hanging="240"/>
    </w:pPr>
  </w:style>
  <w:style w:type="paragraph" w:styleId="Index7">
    <w:name w:val="index 7"/>
    <w:basedOn w:val="Normal"/>
    <w:next w:val="Normal"/>
    <w:autoRedefine/>
    <w:uiPriority w:val="99"/>
    <w:semiHidden/>
    <w:rsid w:val="00FD0330"/>
    <w:pPr>
      <w:ind w:left="1680" w:hanging="240"/>
    </w:pPr>
  </w:style>
  <w:style w:type="paragraph" w:styleId="Index8">
    <w:name w:val="index 8"/>
    <w:basedOn w:val="Normal"/>
    <w:next w:val="Normal"/>
    <w:autoRedefine/>
    <w:uiPriority w:val="99"/>
    <w:semiHidden/>
    <w:rsid w:val="00FD0330"/>
    <w:pPr>
      <w:ind w:left="1920" w:hanging="240"/>
    </w:pPr>
  </w:style>
  <w:style w:type="paragraph" w:styleId="Index9">
    <w:name w:val="index 9"/>
    <w:basedOn w:val="Normal"/>
    <w:next w:val="Normal"/>
    <w:autoRedefine/>
    <w:uiPriority w:val="99"/>
    <w:semiHidden/>
    <w:rsid w:val="00FD0330"/>
    <w:pPr>
      <w:ind w:left="2160" w:hanging="240"/>
    </w:pPr>
  </w:style>
  <w:style w:type="paragraph" w:styleId="IndexHeading">
    <w:name w:val="index heading"/>
    <w:basedOn w:val="Normal"/>
    <w:next w:val="Index1"/>
    <w:uiPriority w:val="99"/>
    <w:semiHidden/>
    <w:rsid w:val="00FD0330"/>
  </w:style>
  <w:style w:type="paragraph" w:styleId="EndnoteText">
    <w:name w:val="endnote text"/>
    <w:basedOn w:val="Normal"/>
    <w:link w:val="EndnoteTextChar"/>
    <w:uiPriority w:val="99"/>
    <w:semiHidden/>
    <w:rsid w:val="00FD0330"/>
    <w:rPr>
      <w:sz w:val="20"/>
      <w:szCs w:val="20"/>
    </w:rPr>
  </w:style>
  <w:style w:type="character" w:customStyle="1" w:styleId="EndnoteTextChar">
    <w:name w:val="Endnote Text Char"/>
    <w:basedOn w:val="DefaultParagraphFont"/>
    <w:link w:val="EndnoteText"/>
    <w:uiPriority w:val="99"/>
    <w:semiHidden/>
    <w:rsid w:val="00CE59A3"/>
    <w:rPr>
      <w:sz w:val="20"/>
      <w:szCs w:val="20"/>
    </w:rPr>
  </w:style>
  <w:style w:type="paragraph" w:customStyle="1" w:styleId="MTAHeading1">
    <w:name w:val="MTA Heading 1"/>
    <w:basedOn w:val="Heading1"/>
    <w:uiPriority w:val="99"/>
    <w:rsid w:val="00FD0330"/>
    <w:pPr>
      <w:numPr>
        <w:numId w:val="3"/>
      </w:numPr>
      <w:ind w:left="0"/>
    </w:pPr>
    <w:rPr>
      <w:rFonts w:ascii="Swis721 BlkEx BT" w:hAnsi="Swis721 BlkEx BT"/>
      <w:i/>
      <w:sz w:val="28"/>
    </w:rPr>
  </w:style>
  <w:style w:type="paragraph" w:customStyle="1" w:styleId="MTAHeader2">
    <w:name w:val="MTA Header 2"/>
    <w:basedOn w:val="Heading2"/>
    <w:uiPriority w:val="99"/>
    <w:rsid w:val="00FD0330"/>
    <w:pPr>
      <w:tabs>
        <w:tab w:val="clear" w:pos="936"/>
        <w:tab w:val="left" w:pos="720"/>
      </w:tabs>
      <w:ind w:left="720" w:hanging="720"/>
      <w:jc w:val="left"/>
    </w:pPr>
  </w:style>
  <w:style w:type="paragraph" w:customStyle="1" w:styleId="MTAHeader3">
    <w:name w:val="MTA Header 3"/>
    <w:basedOn w:val="Heading3"/>
    <w:uiPriority w:val="99"/>
    <w:rsid w:val="00FD0330"/>
    <w:pPr>
      <w:tabs>
        <w:tab w:val="left" w:pos="0"/>
        <w:tab w:val="left" w:pos="360"/>
        <w:tab w:val="left" w:pos="720"/>
      </w:tabs>
      <w:ind w:left="288" w:hanging="288"/>
      <w:jc w:val="left"/>
    </w:pPr>
  </w:style>
  <w:style w:type="paragraph" w:styleId="BalloonText">
    <w:name w:val="Balloon Text"/>
    <w:basedOn w:val="Normal"/>
    <w:link w:val="BalloonTextChar"/>
    <w:uiPriority w:val="99"/>
    <w:rsid w:val="00286E00"/>
    <w:rPr>
      <w:rFonts w:ascii="Tahoma" w:hAnsi="Tahoma" w:cs="Tahoma"/>
      <w:sz w:val="16"/>
      <w:szCs w:val="16"/>
    </w:rPr>
  </w:style>
  <w:style w:type="character" w:customStyle="1" w:styleId="BalloonTextChar">
    <w:name w:val="Balloon Text Char"/>
    <w:basedOn w:val="DefaultParagraphFont"/>
    <w:link w:val="BalloonText"/>
    <w:uiPriority w:val="99"/>
    <w:locked/>
    <w:rsid w:val="00286E00"/>
    <w:rPr>
      <w:rFonts w:ascii="Tahoma" w:hAnsi="Tahoma" w:cs="Tahoma"/>
      <w:sz w:val="16"/>
      <w:szCs w:val="16"/>
    </w:rPr>
  </w:style>
  <w:style w:type="paragraph" w:styleId="ListParagraph">
    <w:name w:val="List Paragraph"/>
    <w:basedOn w:val="Normal"/>
    <w:uiPriority w:val="99"/>
    <w:qFormat/>
    <w:rsid w:val="001A2772"/>
    <w:pPr>
      <w:ind w:left="720"/>
      <w:contextualSpacing/>
    </w:pPr>
  </w:style>
  <w:style w:type="paragraph" w:customStyle="1" w:styleId="Style5">
    <w:name w:val="Style 5"/>
    <w:basedOn w:val="Heading4"/>
    <w:link w:val="Style5Char"/>
    <w:uiPriority w:val="99"/>
    <w:rsid w:val="00E9479C"/>
    <w:pPr>
      <w:numPr>
        <w:ilvl w:val="0"/>
        <w:numId w:val="0"/>
      </w:numPr>
      <w:tabs>
        <w:tab w:val="clear" w:pos="720"/>
        <w:tab w:val="clear" w:pos="1080"/>
        <w:tab w:val="clear" w:pos="1440"/>
        <w:tab w:val="clear" w:pos="2160"/>
        <w:tab w:val="clear" w:pos="2520"/>
        <w:tab w:val="clear" w:pos="2880"/>
        <w:tab w:val="left" w:pos="-2250"/>
        <w:tab w:val="num" w:pos="1296"/>
        <w:tab w:val="left" w:pos="1890"/>
        <w:tab w:val="left" w:pos="8730"/>
      </w:tabs>
      <w:ind w:left="1296" w:firstLine="414"/>
    </w:pPr>
  </w:style>
  <w:style w:type="paragraph" w:customStyle="1" w:styleId="Style7">
    <w:name w:val="Style7"/>
    <w:basedOn w:val="Heading5"/>
    <w:link w:val="Style7Char"/>
    <w:uiPriority w:val="99"/>
    <w:rsid w:val="00E9479C"/>
  </w:style>
  <w:style w:type="character" w:customStyle="1" w:styleId="Style5Char">
    <w:name w:val="Style 5 Char"/>
    <w:basedOn w:val="Heading4Char"/>
    <w:link w:val="Style5"/>
    <w:uiPriority w:val="99"/>
    <w:locked/>
    <w:rsid w:val="00E9479C"/>
    <w:rPr>
      <w:rFonts w:cs="Times New Roman"/>
      <w:b/>
      <w:sz w:val="40"/>
      <w:szCs w:val="40"/>
    </w:rPr>
  </w:style>
  <w:style w:type="character" w:customStyle="1" w:styleId="Style7Char">
    <w:name w:val="Style7 Char"/>
    <w:basedOn w:val="Heading5Char"/>
    <w:link w:val="Style7"/>
    <w:uiPriority w:val="99"/>
    <w:locked/>
    <w:rsid w:val="00E9479C"/>
    <w:rPr>
      <w:rFonts w:cs="Times New Roman"/>
      <w:i/>
      <w:iCs/>
      <w:sz w:val="24"/>
      <w:szCs w:val="24"/>
    </w:rPr>
  </w:style>
  <w:style w:type="character" w:styleId="EndnoteReference">
    <w:name w:val="endnote reference"/>
    <w:basedOn w:val="DefaultParagraphFont"/>
    <w:uiPriority w:val="99"/>
    <w:rsid w:val="00E9479C"/>
    <w:rPr>
      <w:rFonts w:cs="Times New Roman"/>
      <w:vertAlign w:val="superscript"/>
    </w:rPr>
  </w:style>
  <w:style w:type="paragraph" w:styleId="TableofFigures">
    <w:name w:val="table of figures"/>
    <w:basedOn w:val="Normal"/>
    <w:next w:val="Normal"/>
    <w:autoRedefine/>
    <w:uiPriority w:val="99"/>
    <w:rsid w:val="001279EA"/>
    <w:pPr>
      <w:tabs>
        <w:tab w:val="right" w:leader="dot" w:pos="8630"/>
      </w:tabs>
      <w:ind w:left="1170" w:hanging="1170"/>
      <w:jc w:val="left"/>
    </w:pPr>
    <w:rPr>
      <w:smallCaps/>
      <w:noProof/>
    </w:rPr>
  </w:style>
  <w:style w:type="character" w:styleId="Emphasis">
    <w:name w:val="Emphasis"/>
    <w:basedOn w:val="DefaultParagraphFont"/>
    <w:uiPriority w:val="99"/>
    <w:qFormat/>
    <w:rsid w:val="00E9479C"/>
    <w:rPr>
      <w:rFonts w:cs="Times New Roman"/>
      <w:i/>
    </w:rPr>
  </w:style>
  <w:style w:type="character" w:customStyle="1" w:styleId="CaptionChar">
    <w:name w:val="Caption Char"/>
    <w:link w:val="Caption"/>
    <w:uiPriority w:val="99"/>
    <w:locked/>
    <w:rsid w:val="00E9479C"/>
    <w:rPr>
      <w:b/>
    </w:rPr>
  </w:style>
  <w:style w:type="paragraph" w:customStyle="1" w:styleId="NewCHAPTERNUMBER">
    <w:name w:val="New CHAPTER NUMBER"/>
    <w:basedOn w:val="Normal"/>
    <w:next w:val="Normal"/>
    <w:uiPriority w:val="99"/>
    <w:rsid w:val="00E9479C"/>
    <w:pPr>
      <w:tabs>
        <w:tab w:val="left" w:pos="720"/>
        <w:tab w:val="left" w:pos="1440"/>
        <w:tab w:val="left" w:pos="2160"/>
        <w:tab w:val="left" w:pos="2880"/>
        <w:tab w:val="left" w:pos="3600"/>
        <w:tab w:val="left" w:pos="4320"/>
        <w:tab w:val="left" w:pos="5040"/>
      </w:tabs>
      <w:spacing w:after="200" w:line="276" w:lineRule="auto"/>
      <w:jc w:val="left"/>
    </w:pPr>
    <w:rPr>
      <w:rFonts w:ascii="Swis721 BlkEx BT" w:hAnsi="Swis721 BlkEx BT" w:cs="Tahoma"/>
      <w:b/>
      <w:i/>
      <w:sz w:val="40"/>
      <w:szCs w:val="144"/>
    </w:rPr>
  </w:style>
  <w:style w:type="paragraph" w:customStyle="1" w:styleId="NewFOOTER1">
    <w:name w:val="New FOOTER 1"/>
    <w:basedOn w:val="Normal"/>
    <w:uiPriority w:val="99"/>
    <w:rsid w:val="00E9479C"/>
    <w:pPr>
      <w:spacing w:line="180" w:lineRule="exact"/>
      <w:jc w:val="center"/>
    </w:pPr>
    <w:rPr>
      <w:sz w:val="16"/>
      <w:szCs w:val="16"/>
    </w:rPr>
  </w:style>
  <w:style w:type="table" w:styleId="TableGrid">
    <w:name w:val="Table Grid"/>
    <w:basedOn w:val="TableNormal"/>
    <w:uiPriority w:val="99"/>
    <w:rsid w:val="00E9479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5">
    <w:name w:val="Level 5"/>
    <w:basedOn w:val="Normal"/>
    <w:uiPriority w:val="99"/>
    <w:rsid w:val="00E9479C"/>
    <w:pPr>
      <w:widowControl w:val="0"/>
      <w:jc w:val="left"/>
    </w:pPr>
    <w:rPr>
      <w:szCs w:val="20"/>
    </w:rPr>
  </w:style>
  <w:style w:type="paragraph" w:customStyle="1" w:styleId="TableParagraph">
    <w:name w:val="Table Paragraph"/>
    <w:basedOn w:val="Normal"/>
    <w:uiPriority w:val="99"/>
    <w:rsid w:val="00E9479C"/>
    <w:pPr>
      <w:widowControl w:val="0"/>
      <w:jc w:val="left"/>
    </w:pPr>
    <w:rPr>
      <w:rFonts w:ascii="Calibri" w:hAnsi="Calibri"/>
      <w:sz w:val="22"/>
      <w:szCs w:val="22"/>
    </w:rPr>
  </w:style>
  <w:style w:type="character" w:styleId="CommentReference">
    <w:name w:val="annotation reference"/>
    <w:basedOn w:val="DefaultParagraphFont"/>
    <w:uiPriority w:val="99"/>
    <w:rsid w:val="00E9479C"/>
    <w:rPr>
      <w:rFonts w:cs="Times New Roman"/>
      <w:sz w:val="18"/>
    </w:rPr>
  </w:style>
  <w:style w:type="paragraph" w:styleId="CommentText">
    <w:name w:val="annotation text"/>
    <w:basedOn w:val="Normal"/>
    <w:link w:val="CommentTextChar"/>
    <w:uiPriority w:val="99"/>
    <w:rsid w:val="00E9479C"/>
    <w:pPr>
      <w:widowControl w:val="0"/>
      <w:jc w:val="left"/>
    </w:pPr>
    <w:rPr>
      <w:rFonts w:ascii="Calibri" w:hAnsi="Calibri"/>
    </w:rPr>
  </w:style>
  <w:style w:type="character" w:customStyle="1" w:styleId="CommentTextChar">
    <w:name w:val="Comment Text Char"/>
    <w:basedOn w:val="DefaultParagraphFont"/>
    <w:link w:val="CommentText"/>
    <w:uiPriority w:val="99"/>
    <w:locked/>
    <w:rsid w:val="00E9479C"/>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rsid w:val="00E9479C"/>
    <w:rPr>
      <w:b/>
      <w:bCs/>
      <w:sz w:val="20"/>
      <w:szCs w:val="20"/>
    </w:rPr>
  </w:style>
  <w:style w:type="character" w:customStyle="1" w:styleId="CommentSubjectChar">
    <w:name w:val="Comment Subject Char"/>
    <w:basedOn w:val="CommentTextChar"/>
    <w:link w:val="CommentSubject"/>
    <w:uiPriority w:val="99"/>
    <w:locked/>
    <w:rsid w:val="00E9479C"/>
    <w:rPr>
      <w:rFonts w:ascii="Calibri" w:eastAsia="Times New Roman" w:hAnsi="Calibri" w:cs="Times New Roman"/>
      <w:b/>
      <w:bCs/>
      <w:sz w:val="24"/>
      <w:szCs w:val="24"/>
    </w:rPr>
  </w:style>
  <w:style w:type="paragraph" w:customStyle="1" w:styleId="TOCHeading1">
    <w:name w:val="TOC Heading1"/>
    <w:basedOn w:val="Heading1"/>
    <w:next w:val="Normal"/>
    <w:uiPriority w:val="99"/>
    <w:semiHidden/>
    <w:rsid w:val="00E9479C"/>
    <w:pPr>
      <w:keepLines/>
      <w:numPr>
        <w:numId w:val="0"/>
      </w:numPr>
      <w:spacing w:before="480" w:after="0" w:line="276" w:lineRule="auto"/>
      <w:jc w:val="left"/>
      <w:outlineLvl w:val="9"/>
    </w:pPr>
    <w:rPr>
      <w:rFonts w:ascii="Cambria" w:eastAsia="MS Gothic" w:hAnsi="Cambria"/>
      <w:color w:val="365F91"/>
      <w:kern w:val="0"/>
      <w:sz w:val="28"/>
      <w:szCs w:val="28"/>
      <w:lang w:eastAsia="ja-JP"/>
    </w:rPr>
  </w:style>
  <w:style w:type="paragraph" w:styleId="PlainText">
    <w:name w:val="Plain Text"/>
    <w:basedOn w:val="Normal"/>
    <w:link w:val="PlainTextChar"/>
    <w:uiPriority w:val="99"/>
    <w:rsid w:val="00E9479C"/>
    <w:pPr>
      <w:jc w:val="left"/>
    </w:pPr>
    <w:rPr>
      <w:rFonts w:ascii="Consolas" w:hAnsi="Consolas"/>
      <w:sz w:val="21"/>
      <w:szCs w:val="21"/>
    </w:rPr>
  </w:style>
  <w:style w:type="character" w:customStyle="1" w:styleId="PlainTextChar">
    <w:name w:val="Plain Text Char"/>
    <w:basedOn w:val="DefaultParagraphFont"/>
    <w:link w:val="PlainText"/>
    <w:uiPriority w:val="99"/>
    <w:locked/>
    <w:rsid w:val="00E9479C"/>
    <w:rPr>
      <w:rFonts w:ascii="Consolas" w:eastAsia="Times New Roman" w:hAnsi="Consolas" w:cs="Times New Roman"/>
      <w:sz w:val="21"/>
      <w:szCs w:val="21"/>
    </w:rPr>
  </w:style>
  <w:style w:type="paragraph" w:styleId="IntenseQuote">
    <w:name w:val="Intense Quote"/>
    <w:basedOn w:val="Normal"/>
    <w:next w:val="Normal"/>
    <w:link w:val="IntenseQuoteChar"/>
    <w:uiPriority w:val="99"/>
    <w:qFormat/>
    <w:rsid w:val="00E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9479C"/>
    <w:rPr>
      <w:rFonts w:cs="Times New Roman"/>
      <w:b/>
      <w:bCs/>
      <w:i/>
      <w:iCs/>
      <w:color w:val="4F81BD"/>
      <w:sz w:val="24"/>
      <w:szCs w:val="24"/>
    </w:rPr>
  </w:style>
  <w:style w:type="paragraph" w:customStyle="1" w:styleId="3Paragraph">
    <w:name w:val="3Paragraph"/>
    <w:uiPriority w:val="99"/>
    <w:rsid w:val="00BE5384"/>
    <w:pPr>
      <w:tabs>
        <w:tab w:val="left" w:pos="720"/>
      </w:tabs>
      <w:autoSpaceDE w:val="0"/>
      <w:autoSpaceDN w:val="0"/>
      <w:adjustRightInd w:val="0"/>
      <w:ind w:left="1080" w:right="1080" w:hanging="1080"/>
    </w:pPr>
    <w:rPr>
      <w:b/>
      <w:bCs/>
      <w:sz w:val="24"/>
      <w:szCs w:val="24"/>
    </w:rPr>
  </w:style>
  <w:style w:type="paragraph" w:customStyle="1" w:styleId="2Paragraph">
    <w:name w:val="2Paragraph"/>
    <w:uiPriority w:val="99"/>
    <w:rsid w:val="00BE5384"/>
    <w:pPr>
      <w:tabs>
        <w:tab w:val="left" w:pos="720"/>
        <w:tab w:val="left" w:pos="1440"/>
      </w:tabs>
      <w:autoSpaceDE w:val="0"/>
      <w:autoSpaceDN w:val="0"/>
      <w:adjustRightInd w:val="0"/>
      <w:ind w:left="1440" w:right="1440" w:hanging="1440"/>
    </w:pPr>
    <w:rPr>
      <w:rFonts w:ascii="Swis721 BlkEx BT" w:hAnsi="Swis721 BlkEx BT" w:cs="Swis721 BlkEx BT"/>
      <w:b/>
      <w:bCs/>
      <w:sz w:val="24"/>
      <w:szCs w:val="24"/>
    </w:rPr>
  </w:style>
  <w:style w:type="paragraph" w:customStyle="1" w:styleId="5Paragraph">
    <w:name w:val="5Paragraph"/>
    <w:uiPriority w:val="99"/>
    <w:rsid w:val="00BE5384"/>
    <w:pPr>
      <w:autoSpaceDE w:val="0"/>
      <w:autoSpaceDN w:val="0"/>
      <w:adjustRightInd w:val="0"/>
      <w:ind w:left="1080"/>
    </w:pPr>
    <w:rPr>
      <w:b/>
      <w:bCs/>
      <w:sz w:val="24"/>
      <w:szCs w:val="24"/>
    </w:rPr>
  </w:style>
  <w:style w:type="paragraph" w:styleId="Revision">
    <w:name w:val="Revision"/>
    <w:hidden/>
    <w:uiPriority w:val="99"/>
    <w:semiHidden/>
    <w:rsid w:val="00BE5384"/>
    <w:rPr>
      <w:sz w:val="24"/>
      <w:szCs w:val="24"/>
    </w:rPr>
  </w:style>
  <w:style w:type="character" w:customStyle="1" w:styleId="apple-style-span">
    <w:name w:val="apple-style-span"/>
    <w:basedOn w:val="DefaultParagraphFont"/>
    <w:uiPriority w:val="99"/>
    <w:rsid w:val="00BE5384"/>
    <w:rPr>
      <w:rFonts w:cs="Times New Roman"/>
    </w:rPr>
  </w:style>
  <w:style w:type="paragraph" w:customStyle="1" w:styleId="Default">
    <w:name w:val="Default"/>
    <w:uiPriority w:val="99"/>
    <w:rsid w:val="00BB08DC"/>
    <w:pPr>
      <w:autoSpaceDE w:val="0"/>
      <w:autoSpaceDN w:val="0"/>
      <w:adjustRightInd w:val="0"/>
    </w:pPr>
    <w:rPr>
      <w:color w:val="000000"/>
      <w:sz w:val="24"/>
      <w:szCs w:val="24"/>
    </w:rPr>
  </w:style>
  <w:style w:type="character" w:customStyle="1" w:styleId="yiv717624009mark">
    <w:name w:val="yiv717624009mark"/>
    <w:basedOn w:val="DefaultParagraphFont"/>
    <w:uiPriority w:val="99"/>
    <w:rsid w:val="00BB08DC"/>
    <w:rPr>
      <w:rFonts w:cs="Times New Roman"/>
    </w:rPr>
  </w:style>
  <w:style w:type="character" w:styleId="FollowedHyperlink">
    <w:name w:val="FollowedHyperlink"/>
    <w:basedOn w:val="DefaultParagraphFont"/>
    <w:uiPriority w:val="99"/>
    <w:semiHidden/>
    <w:rsid w:val="004C189D"/>
    <w:rPr>
      <w:rFonts w:cs="Times New Roman"/>
      <w:color w:val="800080"/>
      <w:u w:val="single"/>
    </w:rPr>
  </w:style>
  <w:style w:type="numbering" w:customStyle="1" w:styleId="StyleStyle2Outlinenumbered">
    <w:name w:val="Style Style2 + Outline numbered"/>
    <w:rsid w:val="00CE59A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7959">
      <w:marLeft w:val="0"/>
      <w:marRight w:val="0"/>
      <w:marTop w:val="0"/>
      <w:marBottom w:val="0"/>
      <w:divBdr>
        <w:top w:val="none" w:sz="0" w:space="0" w:color="auto"/>
        <w:left w:val="none" w:sz="0" w:space="0" w:color="auto"/>
        <w:bottom w:val="none" w:sz="0" w:space="0" w:color="auto"/>
        <w:right w:val="none" w:sz="0" w:space="0" w:color="auto"/>
      </w:divBdr>
    </w:div>
    <w:div w:id="80027960">
      <w:marLeft w:val="0"/>
      <w:marRight w:val="0"/>
      <w:marTop w:val="0"/>
      <w:marBottom w:val="0"/>
      <w:divBdr>
        <w:top w:val="none" w:sz="0" w:space="0" w:color="auto"/>
        <w:left w:val="none" w:sz="0" w:space="0" w:color="auto"/>
        <w:bottom w:val="none" w:sz="0" w:space="0" w:color="auto"/>
        <w:right w:val="none" w:sz="0" w:space="0" w:color="auto"/>
      </w:divBdr>
    </w:div>
    <w:div w:id="80027961">
      <w:marLeft w:val="0"/>
      <w:marRight w:val="0"/>
      <w:marTop w:val="0"/>
      <w:marBottom w:val="0"/>
      <w:divBdr>
        <w:top w:val="none" w:sz="0" w:space="0" w:color="auto"/>
        <w:left w:val="none" w:sz="0" w:space="0" w:color="auto"/>
        <w:bottom w:val="none" w:sz="0" w:space="0" w:color="auto"/>
        <w:right w:val="none" w:sz="0" w:space="0" w:color="auto"/>
      </w:divBdr>
    </w:div>
    <w:div w:id="80027962">
      <w:marLeft w:val="0"/>
      <w:marRight w:val="0"/>
      <w:marTop w:val="0"/>
      <w:marBottom w:val="0"/>
      <w:divBdr>
        <w:top w:val="none" w:sz="0" w:space="0" w:color="auto"/>
        <w:left w:val="none" w:sz="0" w:space="0" w:color="auto"/>
        <w:bottom w:val="none" w:sz="0" w:space="0" w:color="auto"/>
        <w:right w:val="none" w:sz="0" w:space="0" w:color="auto"/>
      </w:divBdr>
    </w:div>
    <w:div w:id="80027963">
      <w:marLeft w:val="0"/>
      <w:marRight w:val="0"/>
      <w:marTop w:val="0"/>
      <w:marBottom w:val="0"/>
      <w:divBdr>
        <w:top w:val="none" w:sz="0" w:space="0" w:color="auto"/>
        <w:left w:val="none" w:sz="0" w:space="0" w:color="auto"/>
        <w:bottom w:val="none" w:sz="0" w:space="0" w:color="auto"/>
        <w:right w:val="none" w:sz="0" w:space="0" w:color="auto"/>
      </w:divBdr>
    </w:div>
    <w:div w:id="80027964">
      <w:marLeft w:val="0"/>
      <w:marRight w:val="0"/>
      <w:marTop w:val="0"/>
      <w:marBottom w:val="0"/>
      <w:divBdr>
        <w:top w:val="none" w:sz="0" w:space="0" w:color="auto"/>
        <w:left w:val="none" w:sz="0" w:space="0" w:color="auto"/>
        <w:bottom w:val="none" w:sz="0" w:space="0" w:color="auto"/>
        <w:right w:val="none" w:sz="0" w:space="0" w:color="auto"/>
      </w:divBdr>
    </w:div>
    <w:div w:id="80027965">
      <w:marLeft w:val="0"/>
      <w:marRight w:val="0"/>
      <w:marTop w:val="0"/>
      <w:marBottom w:val="0"/>
      <w:divBdr>
        <w:top w:val="none" w:sz="0" w:space="0" w:color="auto"/>
        <w:left w:val="none" w:sz="0" w:space="0" w:color="auto"/>
        <w:bottom w:val="none" w:sz="0" w:space="0" w:color="auto"/>
        <w:right w:val="none" w:sz="0" w:space="0" w:color="auto"/>
      </w:divBdr>
    </w:div>
    <w:div w:id="162248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usiness.metro.net/VendorPortal/faces/home1/workshops;jsessionid=sdYdJsvVvCLnxhBQJLhGMv1KVKYPYrB7lJn4TBR28phXtyLVhlrf!-859603989?_adf.ctrl-state=o7hvf55jm_222&amp;_afrLoop=3939217515466407&amp;_afrWindowMode=0&amp;_afrWindowId=nul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3" Type="http://schemas.openxmlformats.org/officeDocument/2006/relationships/hyperlink" Target="http://www.metro.net/about/deod/sbe/" TargetMode="External"/><Relationship Id="rId2" Type="http://schemas.openxmlformats.org/officeDocument/2006/relationships/hyperlink" Target="http://www.osdbu.dot.gov/DBEProgram/tips.cfm" TargetMode="External"/><Relationship Id="rId1" Type="http://schemas.openxmlformats.org/officeDocument/2006/relationships/hyperlink" Target="http://www.osdbu.dot.gov/DBEProgram/tips.cfm" TargetMode="External"/><Relationship Id="rId4" Type="http://schemas.openxmlformats.org/officeDocument/2006/relationships/hyperlink" Target="http://www.metro.net/about/deod/tba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mith\Desktop\MTA%20Templates\Reorg_Revised%20Templates\Report\MTA%20CHAPTER%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MTA CHAPTER REPORT.dotx</Template>
  <TotalTime>2</TotalTime>
  <Pages>14</Pages>
  <Words>4072</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Mason Tillman Associates, LTD.</Company>
  <LinksUpToDate>false</LinksUpToDate>
  <CharactersWithSpaces>27231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dsmith</dc:creator>
  <cp:lastModifiedBy>Camacho, Omar</cp:lastModifiedBy>
  <cp:revision>3</cp:revision>
  <cp:lastPrinted>2015-06-17T20:54:00Z</cp:lastPrinted>
  <dcterms:created xsi:type="dcterms:W3CDTF">2015-06-19T20:41:00Z</dcterms:created>
  <dcterms:modified xsi:type="dcterms:W3CDTF">2015-07-20T16:58:00Z</dcterms:modified>
  <cp:contentStatus/>
</cp:coreProperties>
</file>